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5BD3" w14:textId="77777777" w:rsidR="0056296F" w:rsidRDefault="0056296F">
      <w:pPr>
        <w:jc w:val="center"/>
        <w:rPr>
          <w:rFonts w:ascii="Gellix Medium" w:hAnsi="Gellix Medium" w:cs="Arial"/>
          <w:b/>
          <w:sz w:val="28"/>
          <w:szCs w:val="28"/>
        </w:rPr>
        <w:sectPr w:rsidR="0056296F">
          <w:pgSz w:w="11907" w:h="16840"/>
          <w:pgMar w:top="567" w:right="567" w:bottom="567" w:left="567" w:header="720" w:footer="117" w:gutter="0"/>
          <w:cols w:space="720"/>
        </w:sectPr>
      </w:pPr>
    </w:p>
    <w:p w14:paraId="6CC55BD4" w14:textId="77777777" w:rsidR="0056296F" w:rsidRDefault="00AA224F">
      <w:pPr>
        <w:spacing w:after="60"/>
        <w:jc w:val="center"/>
        <w:rPr>
          <w:rFonts w:ascii="Gellix Medium" w:hAnsi="Gellix Medium" w:cs="Arial"/>
          <w:color w:val="B52D51"/>
          <w:sz w:val="28"/>
          <w:szCs w:val="28"/>
          <w:u w:val="single"/>
        </w:rPr>
      </w:pPr>
      <w:r>
        <w:rPr>
          <w:rFonts w:ascii="Gellix Medium" w:hAnsi="Gellix Medium" w:cs="Arial"/>
          <w:b/>
          <w:color w:val="B52D51"/>
          <w:sz w:val="28"/>
          <w:szCs w:val="28"/>
          <w:u w:val="single"/>
        </w:rPr>
        <w:t xml:space="preserve">MODELE D’ARRETE PORTANT ATTRIBUTION DE L’INDEMNITE FORFAITAIRE COMPLEMENTAIRE POUR ELECTIONS (IFCE) </w:t>
      </w:r>
    </w:p>
    <w:p w14:paraId="6CC55BD5" w14:textId="77777777" w:rsidR="0056296F" w:rsidRDefault="0056296F">
      <w:pPr>
        <w:rPr>
          <w:rFonts w:ascii="Arial" w:hAnsi="Arial" w:cs="Arial"/>
          <w:color w:val="B52D51"/>
          <w:sz w:val="22"/>
          <w:szCs w:val="22"/>
        </w:rPr>
      </w:pPr>
    </w:p>
    <w:p w14:paraId="6CC55BD6" w14:textId="77777777" w:rsidR="0056296F" w:rsidRDefault="00AA224F">
      <w:pPr>
        <w:rPr>
          <w:rFonts w:ascii="Avenir Next LT Pro" w:hAnsi="Avenir Next LT Pro" w:cs="Arial"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Le Maire de la commune de……………………………,</w:t>
      </w:r>
    </w:p>
    <w:p w14:paraId="6CC55BD7" w14:textId="77777777" w:rsidR="0056296F" w:rsidRDefault="0056296F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D8" w14:textId="77777777" w:rsidR="0056296F" w:rsidRDefault="00AA224F">
      <w:pPr>
        <w:pStyle w:val="RetraitVu0"/>
        <w:tabs>
          <w:tab w:val="clear" w:pos="425"/>
          <w:tab w:val="clear" w:pos="567"/>
        </w:tabs>
        <w:spacing w:before="0"/>
        <w:ind w:left="425" w:hanging="425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le Code Général de la Fonction Publique, notamment les articles L. 712-1, L.714-4 à L. 714-13 ;  </w:t>
      </w:r>
    </w:p>
    <w:p w14:paraId="6CC55BD9" w14:textId="77777777" w:rsidR="0056296F" w:rsidRDefault="00AA224F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décret n° 91-875 du 6 septembre 1991 pris pour l’application de l’article L. 714-4 du Code Général de la Fonction Publique,</w:t>
      </w:r>
    </w:p>
    <w:p w14:paraId="6CC55BDA" w14:textId="77777777" w:rsidR="0056296F" w:rsidRDefault="00AA224F">
      <w:pPr>
        <w:spacing w:before="120"/>
        <w:ind w:left="426" w:hanging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décret n°2002-63 du 14 janvier 2002 modifié relatif à l'indemnité forfaitaire pour travaux supplémentaires des services déconcentrés ;</w:t>
      </w:r>
    </w:p>
    <w:p w14:paraId="6CC55BDB" w14:textId="77777777" w:rsidR="0056296F" w:rsidRDefault="00AA224F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l'arrêté ministériel du 27 février 1962 modifié fixant le régime des indemnités forfaitaires pour travaux supplémentaires susceptibles d'être accordées à certains personnels communaux, notamment son          article 5 ;</w:t>
      </w:r>
    </w:p>
    <w:p w14:paraId="6CC55BDC" w14:textId="77777777" w:rsidR="0056296F" w:rsidRDefault="00AA224F">
      <w:pPr>
        <w:spacing w:before="120"/>
        <w:ind w:left="426" w:hanging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l'arrêté du 12 mai 2014 fixant les montants moyens annuels de l'indemnité forfaitaire pour travaux supplémentaires des services déconcentrés ;</w:t>
      </w:r>
    </w:p>
    <w:p w14:paraId="6CC55BDD" w14:textId="77777777" w:rsidR="0056296F" w:rsidRDefault="00AA224F">
      <w:pPr>
        <w:pStyle w:val="RetraitVu0"/>
        <w:tabs>
          <w:tab w:val="clear" w:pos="425"/>
          <w:tab w:val="clear" w:pos="567"/>
        </w:tabs>
        <w:ind w:left="426" w:hanging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la délibération du Conseil Municipal en date du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…………………………instituant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le versement d'une indemnité forfaitaire complémentaire pour élections (IFCE) en application de l'arrêté ministériel du 27 février 1962 susvisé.</w:t>
      </w:r>
    </w:p>
    <w:p w14:paraId="07290C1F" w14:textId="332CC290" w:rsidR="0056296F" w:rsidRDefault="00AA224F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>Pour un fonctionnaire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>Considérant que Mme/M …………peut bénéficier de cette indemnité en raison de l’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appartenant au cadre d’emplois des……………………</w:t>
      </w:r>
      <w:r>
        <w:rPr>
          <w:rFonts w:ascii="Avenir Next LT Pro" w:hAnsi="Avenir Next LT Pro" w:cs="Arial"/>
          <w:color w:val="203242"/>
          <w:sz w:val="22"/>
          <w:szCs w:val="22"/>
        </w:rPr>
        <w:t>, lequel est non éligible aux indemnités horaires pour travaux supplémentaires (IHTS),</w:t>
      </w:r>
    </w:p>
    <w:p w14:paraId="4CC2AE71" w14:textId="0EAAA73A" w:rsidR="0056296F" w:rsidRDefault="00AA224F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>Pour un agent contractuel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>Considérant que Mme/M…………peut bénéficier de cette indemnité en raison de l’exercice des fonctions de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……………………</w:t>
      </w:r>
      <w:r>
        <w:rPr>
          <w:rFonts w:ascii="Avenir Next LT Pro" w:hAnsi="Avenir Next LT Pro" w:cs="Arial"/>
          <w:color w:val="203242"/>
          <w:sz w:val="22"/>
          <w:szCs w:val="22"/>
        </w:rPr>
        <w:t>, lesquelles ne sont pas éligibles aux indemnités horaires pour travaux supplémentaires (IHTS).</w:t>
      </w:r>
    </w:p>
    <w:p w14:paraId="72E2F049" w14:textId="77777777" w:rsidR="0056296F" w:rsidRDefault="0056296F">
      <w:pPr>
        <w:pStyle w:val="RetraitVu0"/>
        <w:tabs>
          <w:tab w:val="clear" w:pos="425"/>
          <w:tab w:val="clear" w:pos="567"/>
        </w:tabs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DF" w14:textId="77777777" w:rsidR="0056296F" w:rsidRDefault="0056296F">
      <w:pPr>
        <w:rPr>
          <w:rFonts w:ascii="Avenir Next LT Pro" w:hAnsi="Avenir Next LT Pro" w:cs="Arial"/>
          <w:color w:val="203242"/>
          <w:sz w:val="22"/>
          <w:szCs w:val="22"/>
        </w:rPr>
      </w:pPr>
    </w:p>
    <w:p w14:paraId="6CC55BE0" w14:textId="77777777" w:rsidR="0056296F" w:rsidRDefault="00AA224F">
      <w:pPr>
        <w:jc w:val="center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color w:val="203242"/>
          <w:sz w:val="22"/>
          <w:szCs w:val="22"/>
        </w:rPr>
        <w:t>ARRETE</w:t>
      </w:r>
    </w:p>
    <w:p w14:paraId="6CC55BE1" w14:textId="77777777" w:rsidR="0056296F" w:rsidRDefault="0056296F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2" w14:textId="77777777" w:rsidR="0056296F" w:rsidRDefault="00AA224F">
      <w:pPr>
        <w:ind w:left="1701" w:hanging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1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M/Mme…………………………bénéficiera d'une indemnité forfaitaire complémentaire pour élections (IFCE) au titre des élections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>préciser le type d’élections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) selon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>le, les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) scrutin(s) du …………………………, et ce conformément aux dispositions des textes réglementaires et dans la limite des crédits inscrits au budget.</w:t>
      </w:r>
    </w:p>
    <w:p w14:paraId="6CC55BE3" w14:textId="77777777" w:rsidR="0056296F" w:rsidRDefault="0056296F">
      <w:p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4" w14:textId="77777777" w:rsidR="0056296F" w:rsidRDefault="00AA224F">
      <w:pPr>
        <w:tabs>
          <w:tab w:val="left" w:pos="1701"/>
        </w:tabs>
        <w:ind w:left="1701" w:hanging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2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montant de l'indemnité forfaitaire est fixé à :</w:t>
      </w:r>
    </w:p>
    <w:p w14:paraId="6CC55BE5" w14:textId="77777777" w:rsidR="0056296F" w:rsidRDefault="00AA224F">
      <w:pPr>
        <w:numPr>
          <w:ilvl w:val="0"/>
          <w:numId w:val="8"/>
        </w:num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……… € pour le scrutin du …………………………. (</w:t>
      </w:r>
      <w:proofErr w:type="gramStart"/>
      <w:r>
        <w:rPr>
          <w:rFonts w:ascii="Avenir Next LT Pro" w:hAnsi="Avenir Next LT Pro" w:cs="Arial"/>
          <w:i/>
          <w:color w:val="0070C0"/>
          <w:sz w:val="22"/>
          <w:szCs w:val="22"/>
        </w:rPr>
        <w:t>préciser</w:t>
      </w:r>
      <w:proofErr w:type="gramEnd"/>
      <w:r>
        <w:rPr>
          <w:rFonts w:ascii="Avenir Next LT Pro" w:hAnsi="Avenir Next LT Pro" w:cs="Arial"/>
          <w:i/>
          <w:color w:val="0070C0"/>
          <w:sz w:val="22"/>
          <w:szCs w:val="22"/>
        </w:rPr>
        <w:t xml:space="preserve"> la date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</w:p>
    <w:p w14:paraId="6CC55BE6" w14:textId="77777777" w:rsidR="0056296F" w:rsidRDefault="00AA224F">
      <w:pPr>
        <w:numPr>
          <w:ilvl w:val="0"/>
          <w:numId w:val="8"/>
        </w:numPr>
        <w:tabs>
          <w:tab w:val="left" w:pos="170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……... € pour le scrutin du ……………………………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> </w:t>
      </w:r>
      <w:r>
        <w:rPr>
          <w:rFonts w:ascii="Avenir Next LT Pro" w:hAnsi="Avenir Next LT Pro" w:cs="Arial"/>
          <w:color w:val="203242"/>
          <w:sz w:val="22"/>
          <w:szCs w:val="22"/>
        </w:rPr>
        <w:t>;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>1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</w:p>
    <w:p w14:paraId="6CC55BE7" w14:textId="77777777" w:rsidR="0056296F" w:rsidRDefault="0056296F">
      <w:pPr>
        <w:pStyle w:val="ARTICLE1"/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8" w14:textId="77777777" w:rsidR="0056296F" w:rsidRDefault="00AA224F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>ARTICLE 3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>Le présent arrêté sera :</w:t>
      </w:r>
    </w:p>
    <w:p w14:paraId="6CC55BE9" w14:textId="77777777" w:rsidR="0056296F" w:rsidRDefault="00AA224F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- notifié à l'agent,</w:t>
      </w:r>
    </w:p>
    <w:p w14:paraId="6CC55BEA" w14:textId="77777777" w:rsidR="0056296F" w:rsidRDefault="00AA224F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- transmis au comptable de la collectivité.</w:t>
      </w:r>
    </w:p>
    <w:p w14:paraId="6CC55BEB" w14:textId="77777777" w:rsidR="0056296F" w:rsidRDefault="0056296F">
      <w:pPr>
        <w:pStyle w:val="ARTICLE1"/>
        <w:ind w:left="0" w:firstLine="0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C" w14:textId="77777777" w:rsidR="0056296F" w:rsidRDefault="00AA224F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Le Maire,</w:t>
      </w:r>
    </w:p>
    <w:p w14:paraId="6CC55BED" w14:textId="77777777" w:rsidR="0056296F" w:rsidRDefault="0056296F">
      <w:pPr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EE" w14:textId="77777777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certifie sous sa responsabilité le caractère exécutoire de cet acte,</w:t>
      </w:r>
    </w:p>
    <w:p w14:paraId="7F17244A" w14:textId="77777777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informe que :</w:t>
      </w:r>
    </w:p>
    <w:p w14:paraId="7AE7ADAC" w14:textId="77777777" w:rsidR="0056296F" w:rsidRDefault="0056296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</w:p>
    <w:p w14:paraId="77A3B9FF" w14:textId="191C750B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ab/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(Pour les collectivités n’ayant pas adhéré à la médiation préalable obligatoire)</w:t>
      </w: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>En application des dispositions de l’article R. 421-1 du Code de Justice Administrative, cette décision peut faire l'objet d'un recours en annulation devant le Tribunal Administratif de …………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. 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dans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présente notification (requête possible sur le site </w:t>
      </w:r>
      <w:hyperlink r:id="rId11" w:tooltip="http://www.telerecours.fr" w:history="1">
        <w:r>
          <w:rPr>
            <w:rStyle w:val="Lienhypertexte"/>
            <w:rFonts w:ascii="Avenir Next LT Pro" w:hAnsi="Avenir Next LT Pro" w:cs="Arial"/>
            <w:sz w:val="22"/>
            <w:szCs w:val="22"/>
          </w:rPr>
          <w:t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 xml:space="preserve">). </w:t>
      </w:r>
    </w:p>
    <w:p w14:paraId="0A58C930" w14:textId="77777777" w:rsidR="0056296F" w:rsidRDefault="0056296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19DEB09C" w14:textId="7693900C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b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ab/>
      </w:r>
      <w:proofErr w:type="gramStart"/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>OU</w:t>
      </w:r>
      <w:proofErr w:type="gramEnd"/>
    </w:p>
    <w:p w14:paraId="07B2EF50" w14:textId="77777777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ab/>
      </w:r>
    </w:p>
    <w:p w14:paraId="56E4B678" w14:textId="160A2136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lastRenderedPageBreak/>
        <w:tab/>
        <w:t>(Pour les collectivités ayant adhéré à la médiation préalable obligatoire, en cas de décision administrative individuelle défavorable relative à un élément de rémunération)</w:t>
      </w:r>
      <w:r>
        <w:rPr>
          <w:rFonts w:ascii="Avenir Next LT Pro" w:hAnsi="Avenir Next LT Pro" w:cs="Arial"/>
          <w:color w:val="203242"/>
          <w:sz w:val="22"/>
          <w:szCs w:val="22"/>
        </w:rPr>
        <w:t> En cas de contestation de la présente décision, le Médiateur du Centre de Gestion de la Fonction Publique Territoriale de ………………….  </w:t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(</w:t>
      </w:r>
      <w:proofErr w:type="gramStart"/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>indiquer</w:t>
      </w:r>
      <w:proofErr w:type="gramEnd"/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 xml:space="preserve"> les coordonnées du médiateur compétent)</w:t>
      </w:r>
      <w:r>
        <w:rPr>
          <w:rFonts w:ascii="Avenir Next LT Pro" w:hAnsi="Avenir Next LT Pro" w:cs="Arial"/>
          <w:color w:val="203242"/>
          <w:sz w:val="22"/>
          <w:szCs w:val="22"/>
        </w:rPr>
        <w:t> doit être saisi préalablement à la saisine du Tribunal Administratif.</w:t>
      </w:r>
    </w:p>
    <w:p w14:paraId="55C0BAD4" w14:textId="2C281E8E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>La saisine du Médiateur doit intervenir dans le délai de deux mois à compter de la notification de la décision. Cette saisine interrompt le délai de recours contentieux.</w:t>
      </w:r>
    </w:p>
    <w:p w14:paraId="5DCC46A8" w14:textId="1A29069A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Si la médiation ne permet pas de parvenir à un accord, en application des dispositions de l’article R421-1 du Code de Justice Administrative, cette décision peut faire l'objet d'un recours en annulation devant le Tribunal Administratif de …………………. </w:t>
      </w:r>
      <w:proofErr w:type="gramStart"/>
      <w:r>
        <w:rPr>
          <w:rFonts w:ascii="Avenir Next LT Pro" w:hAnsi="Avenir Next LT Pro" w:cs="Arial"/>
          <w:color w:val="203242"/>
          <w:sz w:val="22"/>
          <w:szCs w:val="22"/>
        </w:rPr>
        <w:t>dans</w:t>
      </w:r>
      <w:proofErr w:type="gramEnd"/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fin de la médiation. La requête peut être déposée sur le site </w:t>
      </w:r>
      <w:hyperlink r:id="rId12" w:tooltip="http://www.telerecours.fr" w:history="1">
        <w:r>
          <w:rPr>
            <w:rStyle w:val="Lienhypertexte"/>
            <w:rFonts w:ascii="Avenir Next LT Pro" w:hAnsi="Avenir Next LT Pro" w:cs="Arial"/>
            <w:sz w:val="22"/>
            <w:szCs w:val="22"/>
          </w:rPr>
          <w:t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>.</w:t>
      </w:r>
    </w:p>
    <w:p w14:paraId="01CAFE76" w14:textId="77777777" w:rsidR="0056296F" w:rsidRDefault="0056296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103C7242" w14:textId="77777777" w:rsidR="0056296F" w:rsidRDefault="0056296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42472DBD" w14:textId="77777777" w:rsidR="0056296F" w:rsidRDefault="0056296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39BD6E4A" w14:textId="77777777" w:rsidR="0056296F" w:rsidRDefault="0056296F">
      <w:pPr>
        <w:tabs>
          <w:tab w:val="left" w:pos="288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A" w14:textId="77777777" w:rsidR="0056296F" w:rsidRDefault="0056296F">
      <w:pPr>
        <w:tabs>
          <w:tab w:val="left" w:pos="288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C" w14:textId="4145DD7F" w:rsidR="0056296F" w:rsidRDefault="00AA224F">
      <w:pPr>
        <w:tabs>
          <w:tab w:val="left" w:pos="288"/>
        </w:tabs>
        <w:ind w:left="288" w:hanging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Fait à 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>........................</w:t>
      </w:r>
    </w:p>
    <w:p w14:paraId="6CC55BFD" w14:textId="77777777" w:rsidR="0056296F" w:rsidRDefault="00AA224F">
      <w:pPr>
        <w:tabs>
          <w:tab w:val="left" w:pos="6521"/>
        </w:tabs>
        <w:ind w:left="1728" w:hanging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........................,</w:t>
      </w:r>
    </w:p>
    <w:p w14:paraId="6CC55BFE" w14:textId="77777777" w:rsidR="0056296F" w:rsidRDefault="0056296F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</w:p>
    <w:p w14:paraId="6CC55BFF" w14:textId="77777777" w:rsidR="0056296F" w:rsidRDefault="0056296F">
      <w:pPr>
        <w:pStyle w:val="ARTICLE1"/>
        <w:rPr>
          <w:rFonts w:ascii="Avenir Next LT Pro" w:hAnsi="Avenir Next LT Pro" w:cs="Arial"/>
          <w:color w:val="203242"/>
          <w:sz w:val="22"/>
          <w:szCs w:val="22"/>
        </w:rPr>
      </w:pPr>
    </w:p>
    <w:p w14:paraId="6CC55C00" w14:textId="77777777" w:rsidR="0056296F" w:rsidRDefault="00AA224F">
      <w:pPr>
        <w:tabs>
          <w:tab w:val="left" w:pos="6521"/>
        </w:tabs>
        <w:ind w:left="1728" w:hanging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NOTIFIÉ À L'AGENT LE :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>Le Maire,</w:t>
      </w:r>
    </w:p>
    <w:p w14:paraId="6CC55C01" w14:textId="77777777" w:rsidR="0056296F" w:rsidRDefault="00AA224F">
      <w:pPr>
        <w:tabs>
          <w:tab w:val="left" w:pos="6521"/>
        </w:tabs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>Date et signature</w:t>
      </w:r>
      <w:r>
        <w:rPr>
          <w:rFonts w:ascii="Avenir Next LT Pro" w:hAnsi="Avenir Next LT Pro" w:cs="Arial"/>
          <w:color w:val="203242"/>
          <w:sz w:val="22"/>
          <w:szCs w:val="22"/>
        </w:rPr>
        <w:t>)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</w:p>
    <w:p w14:paraId="6CC55C02" w14:textId="77777777" w:rsidR="0056296F" w:rsidRDefault="0056296F">
      <w:pPr>
        <w:rPr>
          <w:rFonts w:ascii="Avenir Next LT Pro" w:hAnsi="Avenir Next LT Pro" w:cs="Arial"/>
          <w:color w:val="203242"/>
          <w:sz w:val="22"/>
          <w:szCs w:val="22"/>
        </w:rPr>
      </w:pPr>
    </w:p>
    <w:p w14:paraId="6CC55C03" w14:textId="77777777" w:rsidR="0056296F" w:rsidRDefault="00AA224F">
      <w:pPr>
        <w:tabs>
          <w:tab w:val="left" w:pos="480"/>
        </w:tabs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>(1)</w:t>
      </w:r>
      <w:r>
        <w:rPr>
          <w:rFonts w:ascii="Avenir Next LT Pro" w:hAnsi="Avenir Next LT Pro" w:cs="Arial"/>
          <w:color w:val="203242"/>
          <w:sz w:val="20"/>
          <w:szCs w:val="20"/>
        </w:rPr>
        <w:tab/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Lorsque deux élections se déroulent le même jour </w:t>
      </w:r>
      <w:r>
        <w:rPr>
          <w:rFonts w:ascii="Avenir Next LT Pro" w:hAnsi="Avenir Next LT Pro" w:cs="Arial"/>
          <w:color w:val="203242"/>
          <w:sz w:val="20"/>
          <w:szCs w:val="20"/>
          <w:u w:val="single"/>
        </w:rPr>
        <w:t>une seule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 indemnité est versée.</w:t>
      </w:r>
    </w:p>
    <w:p w14:paraId="6CC55C04" w14:textId="2C14F5C9" w:rsidR="0056296F" w:rsidRDefault="00AA224F">
      <w:pPr>
        <w:tabs>
          <w:tab w:val="left" w:pos="480"/>
        </w:tabs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ab/>
        <w:t>Lorsque l’élection donne lieu à deux tours, l’indemnité peut être doublée si la délibération instituant l’IFCE le prévoit.</w:t>
      </w:r>
    </w:p>
    <w:sectPr w:rsidR="0056296F">
      <w:headerReference w:type="default" r:id="rId13"/>
      <w:type w:val="continuous"/>
      <w:pgSz w:w="11907" w:h="16840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2A12" w14:textId="77777777" w:rsidR="0056296F" w:rsidRDefault="00AA224F">
      <w:r>
        <w:separator/>
      </w:r>
    </w:p>
  </w:endnote>
  <w:endnote w:type="continuationSeparator" w:id="0">
    <w:p w14:paraId="6891F07B" w14:textId="77777777" w:rsidR="0056296F" w:rsidRDefault="00AA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 Medium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7554" w14:textId="77777777" w:rsidR="0056296F" w:rsidRDefault="00AA224F">
      <w:r>
        <w:separator/>
      </w:r>
    </w:p>
  </w:footnote>
  <w:footnote w:type="continuationSeparator" w:id="0">
    <w:p w14:paraId="5E12AEE7" w14:textId="77777777" w:rsidR="0056296F" w:rsidRDefault="00AA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5C09" w14:textId="77777777" w:rsidR="0056296F" w:rsidRDefault="0056296F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F22"/>
    <w:multiLevelType w:val="multilevel"/>
    <w:tmpl w:val="B906B49C"/>
    <w:lvl w:ilvl="0">
      <w:start w:val="2"/>
      <w:numFmt w:val="bullet"/>
      <w:lvlText w:val="-"/>
      <w:lvlJc w:val="left"/>
      <w:pPr>
        <w:ind w:left="2055" w:hanging="360"/>
      </w:pPr>
      <w:rPr>
        <w:rFonts w:ascii="Arial" w:eastAsia="Times New Roman" w:hAnsi="Arial" w:cs="Arial"/>
        <w:b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/>
      </w:rPr>
    </w:lvl>
  </w:abstractNum>
  <w:abstractNum w:abstractNumId="1" w15:restartNumberingAfterBreak="0">
    <w:nsid w:val="1E357F88"/>
    <w:multiLevelType w:val="multilevel"/>
    <w:tmpl w:val="738AD536"/>
    <w:lvl w:ilvl="0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9DC06B6"/>
    <w:multiLevelType w:val="multilevel"/>
    <w:tmpl w:val="4ED2269C"/>
    <w:lvl w:ilvl="0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F7F3F"/>
    <w:multiLevelType w:val="multilevel"/>
    <w:tmpl w:val="BE72C64E"/>
    <w:lvl w:ilvl="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90A32"/>
    <w:multiLevelType w:val="multilevel"/>
    <w:tmpl w:val="C136EA1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A5F157C"/>
    <w:multiLevelType w:val="multilevel"/>
    <w:tmpl w:val="937462C8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B56DC1"/>
    <w:multiLevelType w:val="multilevel"/>
    <w:tmpl w:val="D7EE567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BE2667"/>
    <w:multiLevelType w:val="multilevel"/>
    <w:tmpl w:val="BF2A3482"/>
    <w:lvl w:ilvl="0">
      <w:start w:val="1"/>
      <w:numFmt w:val="upperRoman"/>
      <w:pStyle w:val="StyleHirarchisationGrasAvant0cmSuspendu1cmCrnage"/>
      <w:lvlText w:val="%1."/>
      <w:legacy w:legacy="1" w:legacySpace="0" w:legacyIndent="0"/>
      <w:lvlJc w:val="left"/>
      <w:pPr>
        <w:ind w:left="567" w:hanging="567"/>
      </w:pPr>
    </w:lvl>
    <w:lvl w:ilvl="1">
      <w:numFmt w:val="decimal"/>
      <w:lvlText w:val=""/>
      <w:legacy w:legacy="1" w:legacySpace="0" w:legacyIndent="0"/>
      <w:lvlJc w:val="left"/>
    </w:lvl>
    <w:lvl w:ilvl="2">
      <w:numFmt w:val="decimal"/>
      <w:lvlText w:val=""/>
      <w:legacy w:legacy="1" w:legacySpace="0" w:legacyIndent="0"/>
      <w:lvlJc w:val="left"/>
    </w:lvl>
    <w:lvl w:ilvl="3">
      <w:numFmt w:val="decimal"/>
      <w:lvlText w:val=""/>
      <w:legacy w:legacy="1" w:legacySpace="0" w:legacyIndent="0"/>
      <w:lvlJc w:val="left"/>
    </w:lvl>
    <w:lvl w:ilvl="4">
      <w:numFmt w:val="decimal"/>
      <w:lvlText w:val=""/>
      <w:legacy w:legacy="1" w:legacySpace="0" w:legacyIndent="0"/>
      <w:lvlJc w:val="left"/>
    </w:lvl>
    <w:lvl w:ilvl="5">
      <w:numFmt w:val="decimal"/>
      <w:lvlText w:val=""/>
      <w:legacy w:legacy="1" w:legacySpace="0" w:legacyIndent="0"/>
      <w:lvlJc w:val="left"/>
    </w:lvl>
    <w:lvl w:ilvl="6">
      <w:numFmt w:val="decimal"/>
      <w:lvlText w:val=""/>
      <w:legacy w:legacy="1" w:legacySpace="0" w:legacyIndent="0"/>
      <w:lvlJc w:val="left"/>
    </w:lvl>
    <w:lvl w:ilvl="7">
      <w:numFmt w:val="decimal"/>
      <w:lvlText w:val=""/>
      <w:legacy w:legacy="1" w:legacySpace="0" w:legacyIndent="0"/>
      <w:lvlJc w:val="left"/>
    </w:lvl>
    <w:lvl w:ilvl="8">
      <w:numFmt w:val="decimal"/>
      <w:lvlText w:val=""/>
      <w:legacy w:legacy="1" w:legacySpace="0" w:legacyIndent="0"/>
      <w:lvlJc w:val="left"/>
    </w:lvl>
  </w:abstractNum>
  <w:num w:numId="1" w16cid:durableId="819731861">
    <w:abstractNumId w:val="1"/>
  </w:num>
  <w:num w:numId="2" w16cid:durableId="1620910719">
    <w:abstractNumId w:val="5"/>
  </w:num>
  <w:num w:numId="3" w16cid:durableId="1267425324">
    <w:abstractNumId w:val="2"/>
  </w:num>
  <w:num w:numId="4" w16cid:durableId="1238437185">
    <w:abstractNumId w:val="7"/>
  </w:num>
  <w:num w:numId="5" w16cid:durableId="1741713349">
    <w:abstractNumId w:val="3"/>
  </w:num>
  <w:num w:numId="6" w16cid:durableId="1877963654">
    <w:abstractNumId w:val="4"/>
  </w:num>
  <w:num w:numId="7" w16cid:durableId="1086531843">
    <w:abstractNumId w:val="6"/>
  </w:num>
  <w:num w:numId="8" w16cid:durableId="119715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6F"/>
    <w:rsid w:val="0056296F"/>
    <w:rsid w:val="00692578"/>
    <w:rsid w:val="00A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C2BD5-1B93-4D9E-A219-B57424C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i/>
      <w:iCs/>
      <w:color w:val="365F91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color w:val="365F91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i/>
      <w:iCs/>
      <w:color w:val="595959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color w:val="595959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color w:val="272727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Pr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uiPriority w:val="21"/>
    <w:qFormat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Pr>
      <w:i/>
      <w:iCs/>
      <w:color w:val="365F91"/>
    </w:rPr>
  </w:style>
  <w:style w:type="character" w:styleId="Rfrenceintens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uiPriority w:val="19"/>
    <w:qFormat/>
    <w:rPr>
      <w:i/>
      <w:iCs/>
      <w:color w:val="404040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styleId="Rfrencelgre">
    <w:name w:val="Subtle Reference"/>
    <w:uiPriority w:val="31"/>
    <w:qFormat/>
    <w:rPr>
      <w:smallCaps/>
      <w:color w:val="5A5A5A"/>
    </w:rPr>
  </w:style>
  <w:style w:type="character" w:styleId="Titredulivre">
    <w:name w:val="Book Title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pPr>
      <w:tabs>
        <w:tab w:val="left" w:pos="432"/>
      </w:tabs>
      <w:spacing w:before="120"/>
      <w:ind w:left="431" w:hanging="431"/>
      <w:jc w:val="both"/>
    </w:pPr>
    <w:rPr>
      <w:sz w:val="24"/>
      <w:szCs w:val="24"/>
    </w:rPr>
  </w:style>
  <w:style w:type="paragraph" w:customStyle="1" w:styleId="ARTICLE1">
    <w:name w:val="ARTICLE 1"/>
    <w:pPr>
      <w:tabs>
        <w:tab w:val="left" w:pos="1728"/>
      </w:tabs>
      <w:ind w:left="1729" w:hanging="1729"/>
      <w:jc w:val="both"/>
    </w:pPr>
    <w:rPr>
      <w:sz w:val="24"/>
      <w:szCs w:val="24"/>
    </w:rPr>
  </w:style>
  <w:style w:type="paragraph" w:customStyle="1" w:styleId="RetraitVu0">
    <w:name w:val="Retrait Vu"/>
    <w:basedOn w:val="Normal"/>
    <w:pPr>
      <w:tabs>
        <w:tab w:val="left" w:pos="425"/>
        <w:tab w:val="left" w:pos="567"/>
      </w:tabs>
      <w:spacing w:before="120"/>
      <w:ind w:left="567" w:hanging="567"/>
      <w:jc w:val="both"/>
    </w:pPr>
    <w:rPr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2026-02-16T23:00:00+00:00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IHTS et heures complémentaires</TermName>
          <TermId xmlns="http://schemas.microsoft.com/office/infopath/2007/PartnerControls">40b3bc11-2bf3-43b1-9742-140766ce59c7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2026-02-16T23:00:00+00:00</Datedudocument>
    <Resume xmlns="002f9175-6b98-453e-8381-436e165ab70f">Modèle d'arrêté portant attribution de l'indemnité forfaitaire complémentaires pour élections (IFCE)</Resume>
    <Archive xmlns="002f9175-6b98-453e-8381-436e165ab70f">false</Archive>
    <g9c48524d63d46d1bbce8822d5653303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eabc127e-c6bc-4c0f-9349-6d75953b61d0</TermId>
        </TermInfo>
      </Terms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2631</Value>
      <Value>2564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D1466EE-E640-4328-90B9-2941B639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27AA3-2722-4B50-8CAB-E52D84F39EA7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2083138F-51DA-4CD3-A083-860C2414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FC333-0195-4FC9-963D-1DB07F97C53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3476</Characters>
  <Application>Microsoft Office Word</Application>
  <DocSecurity>0</DocSecurity>
  <Lines>28</Lines>
  <Paragraphs>8</Paragraphs>
  <ScaleCrop>false</ScaleCrop>
  <Company>C.D.G.F.P.T de la Gironde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attribution de l'indemnité forfaitaire complémentaires pour élections (IFCE)</dc:title>
  <dc:creator>mjenny</dc:creator>
  <cp:lastModifiedBy>CDG16 MARJORIE CHAUVET</cp:lastModifiedBy>
  <cp:revision>2</cp:revision>
  <dcterms:created xsi:type="dcterms:W3CDTF">2026-02-18T08:43:00Z</dcterms:created>
  <dcterms:modified xsi:type="dcterms:W3CDTF">2026-02-18T08:43:00Z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2631;#IHTS et heures complémentaires|40b3bc11-2bf3-43b1-9742-140766ce59c7</vt:lpwstr>
  </property>
</Properties>
</file>