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81" w14:textId="55834E33" w:rsidR="008856D2" w:rsidRPr="008856D2" w:rsidRDefault="00C65FD0" w:rsidP="008856D2">
      <w:pPr>
        <w:spacing w:after="0" w:line="240" w:lineRule="auto"/>
        <w:jc w:val="right"/>
        <w:rPr>
          <w:i/>
          <w:iCs/>
          <w:sz w:val="21"/>
          <w:szCs w:val="21"/>
        </w:rPr>
      </w:pPr>
      <w:r>
        <w:rPr>
          <w:b/>
          <w:bCs/>
          <w:noProof/>
          <w:sz w:val="40"/>
          <w:szCs w:val="40"/>
        </w:rPr>
        <w:drawing>
          <wp:anchor distT="0" distB="0" distL="114300" distR="114300" simplePos="0" relativeHeight="251658240" behindDoc="0" locked="0" layoutInCell="1" allowOverlap="1" wp14:anchorId="75D6673D" wp14:editId="5A42FD36">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8856D2" w:rsidRPr="008856D2">
        <w:rPr>
          <w:i/>
          <w:iCs/>
          <w:sz w:val="21"/>
          <w:szCs w:val="21"/>
        </w:rPr>
        <w:t xml:space="preserve">v. </w:t>
      </w:r>
      <w:r w:rsidR="003661E6">
        <w:rPr>
          <w:i/>
          <w:iCs/>
          <w:sz w:val="21"/>
          <w:szCs w:val="21"/>
        </w:rPr>
        <w:t>27</w:t>
      </w:r>
      <w:r w:rsidR="008856D2">
        <w:rPr>
          <w:i/>
          <w:iCs/>
          <w:sz w:val="21"/>
          <w:szCs w:val="21"/>
        </w:rPr>
        <w:t>/02/202</w:t>
      </w:r>
      <w:r w:rsidR="003661E6">
        <w:rPr>
          <w:i/>
          <w:iCs/>
          <w:sz w:val="21"/>
          <w:szCs w:val="21"/>
        </w:rPr>
        <w:t>4</w:t>
      </w:r>
    </w:p>
    <w:p w14:paraId="7D06A464" w14:textId="77777777" w:rsidR="008856D2" w:rsidRPr="008856D2" w:rsidRDefault="008856D2" w:rsidP="008856D2">
      <w:pPr>
        <w:spacing w:after="0" w:line="240" w:lineRule="auto"/>
        <w:jc w:val="center"/>
        <w:rPr>
          <w:b/>
          <w:bCs/>
          <w:sz w:val="40"/>
          <w:szCs w:val="40"/>
        </w:rPr>
      </w:pPr>
    </w:p>
    <w:p w14:paraId="0AE44D3A" w14:textId="4450A621" w:rsidR="008856D2" w:rsidRDefault="008856D2" w:rsidP="008856D2">
      <w:pPr>
        <w:spacing w:after="0" w:line="240" w:lineRule="auto"/>
        <w:jc w:val="center"/>
        <w:rPr>
          <w:b/>
          <w:bCs/>
          <w:sz w:val="40"/>
          <w:szCs w:val="40"/>
        </w:rPr>
      </w:pPr>
    </w:p>
    <w:p w14:paraId="65020C1D" w14:textId="77777777" w:rsidR="00C65FD0" w:rsidRPr="008856D2" w:rsidRDefault="00C65FD0" w:rsidP="008856D2">
      <w:pPr>
        <w:spacing w:after="0" w:line="240" w:lineRule="auto"/>
        <w:jc w:val="center"/>
        <w:rPr>
          <w:b/>
          <w:bCs/>
          <w:sz w:val="40"/>
          <w:szCs w:val="40"/>
        </w:rPr>
      </w:pPr>
    </w:p>
    <w:p w14:paraId="59813BB1" w14:textId="7DF4678D" w:rsidR="00F61C59" w:rsidRPr="008856D2" w:rsidRDefault="003661E6" w:rsidP="003661E6">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Pr>
          <w:b/>
          <w:bCs/>
          <w:sz w:val="40"/>
          <w:szCs w:val="40"/>
        </w:rPr>
        <w:t>F.A.Q – LES ASSISTANTS DE PRÉVENTION</w:t>
      </w:r>
    </w:p>
    <w:p w14:paraId="642C16E8" w14:textId="5D016B71" w:rsidR="008856D2" w:rsidRDefault="008856D2" w:rsidP="008856D2">
      <w:pPr>
        <w:spacing w:after="0" w:line="240" w:lineRule="auto"/>
        <w:rPr>
          <w:sz w:val="21"/>
          <w:szCs w:val="21"/>
        </w:rPr>
      </w:pPr>
    </w:p>
    <w:p w14:paraId="61C533A7" w14:textId="72D2A865" w:rsidR="00033D25" w:rsidRPr="008A68BA" w:rsidRDefault="003661E6" w:rsidP="008A68BA">
      <w:pPr>
        <w:pStyle w:val="Titre1"/>
        <w:numPr>
          <w:ilvl w:val="0"/>
          <w:numId w:val="10"/>
        </w:numPr>
        <w:spacing w:after="0" w:afterAutospacing="0"/>
        <w:rPr>
          <w:rFonts w:asciiTheme="minorHAnsi" w:eastAsiaTheme="minorHAnsi" w:hAnsiTheme="minorHAnsi" w:cstheme="minorBidi"/>
          <w:color w:val="0070C0"/>
          <w:kern w:val="0"/>
          <w:sz w:val="28"/>
          <w:szCs w:val="28"/>
          <w:lang w:eastAsia="en-US"/>
        </w:rPr>
      </w:pPr>
      <w:r w:rsidRPr="008A68BA">
        <w:rPr>
          <w:rFonts w:asciiTheme="minorHAnsi" w:eastAsiaTheme="minorHAnsi" w:hAnsiTheme="minorHAnsi" w:cstheme="minorBidi"/>
          <w:color w:val="0070C0"/>
          <w:kern w:val="0"/>
          <w:sz w:val="28"/>
          <w:szCs w:val="28"/>
          <w:lang w:eastAsia="en-US"/>
        </w:rPr>
        <w:t>QUEL EST LE R</w:t>
      </w:r>
      <w:r w:rsidR="008A68BA" w:rsidRPr="008A68BA">
        <w:rPr>
          <w:rFonts w:asciiTheme="minorHAnsi" w:eastAsiaTheme="minorHAnsi" w:hAnsiTheme="minorHAnsi" w:cstheme="minorBidi"/>
          <w:color w:val="0070C0"/>
          <w:kern w:val="0"/>
          <w:sz w:val="28"/>
          <w:szCs w:val="28"/>
          <w:lang w:eastAsia="en-US"/>
        </w:rPr>
        <w:t>Ô</w:t>
      </w:r>
      <w:r w:rsidRPr="008A68BA">
        <w:rPr>
          <w:rFonts w:asciiTheme="minorHAnsi" w:eastAsiaTheme="minorHAnsi" w:hAnsiTheme="minorHAnsi" w:cstheme="minorBidi"/>
          <w:color w:val="0070C0"/>
          <w:kern w:val="0"/>
          <w:sz w:val="28"/>
          <w:szCs w:val="28"/>
          <w:lang w:eastAsia="en-US"/>
        </w:rPr>
        <w:t>LE D</w:t>
      </w:r>
      <w:r w:rsidR="008A68BA">
        <w:rPr>
          <w:rFonts w:asciiTheme="minorHAnsi" w:eastAsiaTheme="minorHAnsi" w:hAnsiTheme="minorHAnsi" w:cstheme="minorBidi"/>
          <w:color w:val="0070C0"/>
          <w:kern w:val="0"/>
          <w:sz w:val="28"/>
          <w:szCs w:val="28"/>
          <w:lang w:eastAsia="en-US"/>
        </w:rPr>
        <w:t>’UN</w:t>
      </w:r>
      <w:r w:rsidRPr="008A68BA">
        <w:rPr>
          <w:rFonts w:asciiTheme="minorHAnsi" w:eastAsiaTheme="minorHAnsi" w:hAnsiTheme="minorHAnsi" w:cstheme="minorBidi"/>
          <w:color w:val="0070C0"/>
          <w:kern w:val="0"/>
          <w:sz w:val="28"/>
          <w:szCs w:val="28"/>
          <w:lang w:eastAsia="en-US"/>
        </w:rPr>
        <w:t xml:space="preserve"> ASSISTANT DE PRÉVENTION </w:t>
      </w:r>
      <w:r w:rsidR="006F6D32">
        <w:rPr>
          <w:rFonts w:asciiTheme="minorHAnsi" w:eastAsiaTheme="minorHAnsi" w:hAnsiTheme="minorHAnsi" w:cstheme="minorBidi"/>
          <w:color w:val="0070C0"/>
          <w:kern w:val="0"/>
          <w:sz w:val="28"/>
          <w:szCs w:val="28"/>
          <w:lang w:eastAsia="en-US"/>
        </w:rPr>
        <w:t xml:space="preserve">(AP) </w:t>
      </w:r>
      <w:r w:rsidRPr="008A68BA">
        <w:rPr>
          <w:rFonts w:asciiTheme="minorHAnsi" w:eastAsiaTheme="minorHAnsi" w:hAnsiTheme="minorHAnsi" w:cstheme="minorBidi"/>
          <w:color w:val="0070C0"/>
          <w:kern w:val="0"/>
          <w:sz w:val="28"/>
          <w:szCs w:val="28"/>
          <w:lang w:eastAsia="en-US"/>
        </w:rPr>
        <w:t xml:space="preserve">? </w:t>
      </w:r>
    </w:p>
    <w:p w14:paraId="43616DA6" w14:textId="77777777" w:rsidR="003661E6" w:rsidRDefault="003661E6" w:rsidP="008A68BA">
      <w:pPr>
        <w:spacing w:after="0"/>
        <w:jc w:val="both"/>
      </w:pPr>
      <w:r>
        <w:t xml:space="preserve">L’assistant de prévention est un acteur clé au sein de la collectivité. Il assiste et conseille l’autorité territoriale auprès de laquelle il est placé et notamment : </w:t>
      </w:r>
    </w:p>
    <w:p w14:paraId="0BB85578" w14:textId="77777777" w:rsidR="003661E6" w:rsidRDefault="003661E6" w:rsidP="003661E6">
      <w:pPr>
        <w:pStyle w:val="Paragraphedeliste"/>
        <w:numPr>
          <w:ilvl w:val="0"/>
          <w:numId w:val="8"/>
        </w:numPr>
        <w:jc w:val="both"/>
      </w:pPr>
      <w:r>
        <w:t xml:space="preserve">Dans la démarche d’évaluation des risques ; </w:t>
      </w:r>
    </w:p>
    <w:p w14:paraId="39B3A01B" w14:textId="77777777" w:rsidR="003661E6" w:rsidRDefault="003661E6" w:rsidP="003661E6">
      <w:pPr>
        <w:pStyle w:val="Paragraphedeliste"/>
        <w:numPr>
          <w:ilvl w:val="0"/>
          <w:numId w:val="8"/>
        </w:numPr>
        <w:jc w:val="both"/>
      </w:pPr>
      <w:r>
        <w:t xml:space="preserve">Dans l’amélioration des méthodes et du milieu de travail ; </w:t>
      </w:r>
    </w:p>
    <w:p w14:paraId="3B11F889" w14:textId="77777777" w:rsidR="003661E6" w:rsidRDefault="003661E6" w:rsidP="003661E6">
      <w:pPr>
        <w:pStyle w:val="Paragraphedeliste"/>
        <w:numPr>
          <w:ilvl w:val="0"/>
          <w:numId w:val="8"/>
        </w:numPr>
        <w:jc w:val="both"/>
      </w:pPr>
      <w:r>
        <w:t>Dans l’approfondissement, au sein des services, de la connaissance des problèmes de sécurité ;</w:t>
      </w:r>
    </w:p>
    <w:p w14:paraId="3B78799C" w14:textId="77777777" w:rsidR="003661E6" w:rsidRDefault="003661E6" w:rsidP="003661E6">
      <w:pPr>
        <w:pStyle w:val="Paragraphedeliste"/>
        <w:numPr>
          <w:ilvl w:val="0"/>
          <w:numId w:val="8"/>
        </w:numPr>
        <w:jc w:val="both"/>
      </w:pPr>
      <w:r>
        <w:t xml:space="preserve">Dans la mise en œuvre des règles de santé et de sécurité au travail. </w:t>
      </w:r>
    </w:p>
    <w:p w14:paraId="17DE2759" w14:textId="77777777" w:rsidR="003661E6" w:rsidRPr="0062143C" w:rsidRDefault="003661E6" w:rsidP="003661E6">
      <w:pPr>
        <w:pStyle w:val="NormalWeb"/>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A ce titre</w:t>
      </w:r>
      <w:r w:rsidRPr="0062143C">
        <w:rPr>
          <w:rFonts w:asciiTheme="minorHAnsi" w:eastAsiaTheme="minorHAnsi" w:hAnsiTheme="minorHAnsi" w:cstheme="minorBidi"/>
          <w:kern w:val="2"/>
          <w:sz w:val="22"/>
          <w:szCs w:val="22"/>
          <w:lang w:eastAsia="en-US"/>
          <w14:ligatures w14:val="standardContextual"/>
        </w:rPr>
        <w:t>, il :</w:t>
      </w:r>
    </w:p>
    <w:p w14:paraId="4098345C" w14:textId="77777777" w:rsidR="003661E6" w:rsidRPr="0062143C" w:rsidRDefault="003661E6" w:rsidP="003661E6">
      <w:pPr>
        <w:pStyle w:val="NormalWeb"/>
        <w:numPr>
          <w:ilvl w:val="0"/>
          <w:numId w:val="8"/>
        </w:numPr>
        <w:spacing w:before="0" w:beforeAutospacing="0" w:after="0" w:afterAutospacing="0"/>
        <w:jc w:val="both"/>
        <w:rPr>
          <w:rFonts w:asciiTheme="minorHAnsi" w:eastAsiaTheme="minorHAnsi" w:hAnsiTheme="minorHAnsi" w:cstheme="minorBidi"/>
          <w:kern w:val="2"/>
          <w:sz w:val="22"/>
          <w:szCs w:val="22"/>
          <w:lang w:eastAsia="en-US"/>
          <w14:ligatures w14:val="standardContextual"/>
        </w:rPr>
      </w:pPr>
      <w:r w:rsidRPr="0062143C">
        <w:rPr>
          <w:rFonts w:asciiTheme="minorHAnsi" w:eastAsiaTheme="minorHAnsi" w:hAnsiTheme="minorHAnsi" w:cstheme="minorBidi"/>
          <w:kern w:val="2"/>
          <w:sz w:val="22"/>
          <w:szCs w:val="22"/>
          <w:lang w:eastAsia="en-US"/>
          <w14:ligatures w14:val="standardContextual"/>
        </w:rPr>
        <w:t>Propose des mesures pratiques propres à améliorer la prévention des risques</w:t>
      </w:r>
      <w:r>
        <w:rPr>
          <w:rFonts w:asciiTheme="minorHAnsi" w:eastAsiaTheme="minorHAnsi" w:hAnsiTheme="minorHAnsi" w:cstheme="minorBidi"/>
          <w:kern w:val="2"/>
          <w:sz w:val="22"/>
          <w:szCs w:val="22"/>
          <w:lang w:eastAsia="en-US"/>
          <w14:ligatures w14:val="standardContextual"/>
        </w:rPr>
        <w:t xml:space="preserve"> professionnels</w:t>
      </w:r>
      <w:r w:rsidRPr="0062143C">
        <w:rPr>
          <w:rFonts w:asciiTheme="minorHAnsi" w:eastAsiaTheme="minorHAnsi" w:hAnsiTheme="minorHAnsi" w:cstheme="minorBidi"/>
          <w:kern w:val="2"/>
          <w:sz w:val="22"/>
          <w:szCs w:val="22"/>
          <w:lang w:eastAsia="en-US"/>
          <w14:ligatures w14:val="standardContextual"/>
        </w:rPr>
        <w:t xml:space="preserve"> ;</w:t>
      </w:r>
    </w:p>
    <w:p w14:paraId="2A1D7BA6" w14:textId="77777777" w:rsidR="003661E6" w:rsidRPr="0062143C" w:rsidRDefault="003661E6" w:rsidP="003661E6">
      <w:pPr>
        <w:pStyle w:val="NormalWeb"/>
        <w:numPr>
          <w:ilvl w:val="0"/>
          <w:numId w:val="8"/>
        </w:numPr>
        <w:jc w:val="both"/>
        <w:rPr>
          <w:rFonts w:asciiTheme="minorHAnsi" w:eastAsiaTheme="minorHAnsi" w:hAnsiTheme="minorHAnsi" w:cstheme="minorBidi"/>
          <w:kern w:val="2"/>
          <w:sz w:val="22"/>
          <w:szCs w:val="22"/>
          <w:lang w:eastAsia="en-US"/>
          <w14:ligatures w14:val="standardContextual"/>
        </w:rPr>
      </w:pPr>
      <w:r w:rsidRPr="0062143C">
        <w:rPr>
          <w:rFonts w:asciiTheme="minorHAnsi" w:eastAsiaTheme="minorHAnsi" w:hAnsiTheme="minorHAnsi" w:cstheme="minorBidi"/>
          <w:kern w:val="2"/>
          <w:sz w:val="22"/>
          <w:szCs w:val="22"/>
          <w:lang w:eastAsia="en-US"/>
          <w14:ligatures w14:val="standardContextual"/>
        </w:rPr>
        <w:t>Participe, en collaboration avec les autres acteurs, à la sensibilisation, l’information et la formation d</w:t>
      </w:r>
      <w:r>
        <w:rPr>
          <w:rFonts w:asciiTheme="minorHAnsi" w:eastAsiaTheme="minorHAnsi" w:hAnsiTheme="minorHAnsi" w:cstheme="minorBidi"/>
          <w:kern w:val="2"/>
          <w:sz w:val="22"/>
          <w:szCs w:val="22"/>
          <w:lang w:eastAsia="en-US"/>
          <w14:ligatures w14:val="standardContextual"/>
        </w:rPr>
        <w:t>u</w:t>
      </w:r>
      <w:r w:rsidRPr="0062143C">
        <w:rPr>
          <w:rFonts w:asciiTheme="minorHAnsi" w:eastAsiaTheme="minorHAnsi" w:hAnsiTheme="minorHAnsi" w:cstheme="minorBidi"/>
          <w:kern w:val="2"/>
          <w:sz w:val="22"/>
          <w:szCs w:val="22"/>
          <w:lang w:eastAsia="en-US"/>
          <w14:ligatures w14:val="standardContextual"/>
        </w:rPr>
        <w:t xml:space="preserve"> personnel</w:t>
      </w:r>
      <w:r>
        <w:rPr>
          <w:rFonts w:asciiTheme="minorHAnsi" w:eastAsiaTheme="minorHAnsi" w:hAnsiTheme="minorHAnsi" w:cstheme="minorBidi"/>
          <w:kern w:val="2"/>
          <w:sz w:val="22"/>
          <w:szCs w:val="22"/>
          <w:lang w:eastAsia="en-US"/>
          <w14:ligatures w14:val="standardContextual"/>
        </w:rPr>
        <w:t> ;</w:t>
      </w:r>
    </w:p>
    <w:p w14:paraId="481D5B0F" w14:textId="77777777" w:rsidR="003661E6" w:rsidRPr="0062143C" w:rsidRDefault="003661E6" w:rsidP="003661E6">
      <w:pPr>
        <w:pStyle w:val="NormalWeb"/>
        <w:numPr>
          <w:ilvl w:val="0"/>
          <w:numId w:val="8"/>
        </w:numPr>
        <w:jc w:val="both"/>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Est</w:t>
      </w:r>
      <w:r w:rsidRPr="0062143C">
        <w:rPr>
          <w:rFonts w:asciiTheme="minorHAnsi" w:eastAsiaTheme="minorHAnsi" w:hAnsiTheme="minorHAnsi" w:cstheme="minorBidi"/>
          <w:kern w:val="2"/>
          <w:sz w:val="22"/>
          <w:szCs w:val="22"/>
          <w:lang w:eastAsia="en-US"/>
          <w14:ligatures w14:val="standardContextual"/>
        </w:rPr>
        <w:t xml:space="preserve"> associé aux travaux de la FSSSCT et assiste de plein droit, avec voix consultative, aux réunions de ce comité, lorsque la situation de la collectivité auprès de laquelle il est placé est évoquée</w:t>
      </w:r>
      <w:r>
        <w:rPr>
          <w:rFonts w:asciiTheme="minorHAnsi" w:eastAsiaTheme="minorHAnsi" w:hAnsiTheme="minorHAnsi" w:cstheme="minorBidi"/>
          <w:kern w:val="2"/>
          <w:sz w:val="22"/>
          <w:szCs w:val="22"/>
          <w:lang w:eastAsia="en-US"/>
          <w14:ligatures w14:val="standardContextual"/>
        </w:rPr>
        <w:t xml:space="preserve"> ; </w:t>
      </w:r>
    </w:p>
    <w:p w14:paraId="6CD8499C" w14:textId="249D00AC" w:rsidR="003661E6" w:rsidRPr="003661E6" w:rsidRDefault="003661E6" w:rsidP="003661E6">
      <w:pPr>
        <w:pStyle w:val="rtejustify"/>
        <w:jc w:val="both"/>
        <w:rPr>
          <w:rFonts w:asciiTheme="minorHAnsi" w:eastAsiaTheme="minorHAnsi" w:hAnsiTheme="minorHAnsi" w:cstheme="minorBidi"/>
          <w:kern w:val="2"/>
          <w:sz w:val="22"/>
          <w:szCs w:val="22"/>
          <w:lang w:eastAsia="en-US"/>
          <w14:ligatures w14:val="standardContextual"/>
        </w:rPr>
      </w:pPr>
      <w:r w:rsidRPr="0062143C">
        <w:rPr>
          <w:rFonts w:asciiTheme="minorHAnsi" w:eastAsiaTheme="minorHAnsi" w:hAnsiTheme="minorHAnsi" w:cstheme="minorBidi"/>
          <w:kern w:val="2"/>
          <w:sz w:val="22"/>
          <w:szCs w:val="22"/>
          <w:lang w:eastAsia="en-US"/>
          <w14:ligatures w14:val="standardContextual"/>
        </w:rPr>
        <w:t xml:space="preserve">Il est un </w:t>
      </w:r>
      <w:r w:rsidRPr="0062143C">
        <w:rPr>
          <w:rFonts w:asciiTheme="minorHAnsi" w:eastAsiaTheme="minorHAnsi" w:hAnsiTheme="minorHAnsi" w:cstheme="minorBidi"/>
          <w:b/>
          <w:bCs/>
          <w:kern w:val="2"/>
          <w:sz w:val="22"/>
          <w:szCs w:val="22"/>
          <w:lang w:eastAsia="en-US"/>
          <w14:ligatures w14:val="standardContextual"/>
        </w:rPr>
        <w:t>relais de proximité</w:t>
      </w:r>
      <w:r w:rsidRPr="0062143C">
        <w:rPr>
          <w:rFonts w:asciiTheme="minorHAnsi" w:eastAsiaTheme="minorHAnsi" w:hAnsiTheme="minorHAnsi" w:cstheme="minorBidi"/>
          <w:kern w:val="2"/>
          <w:sz w:val="22"/>
          <w:szCs w:val="22"/>
          <w:lang w:eastAsia="en-US"/>
          <w14:ligatures w14:val="standardContextual"/>
        </w:rPr>
        <w:t xml:space="preserve"> qui participe à l’amélioration des conditions de travail.</w:t>
      </w:r>
    </w:p>
    <w:p w14:paraId="39B5CA27" w14:textId="45A8F057" w:rsidR="003661E6" w:rsidRDefault="003661E6" w:rsidP="00033D25">
      <w:pPr>
        <w:pStyle w:val="Paragraphedeliste"/>
        <w:numPr>
          <w:ilvl w:val="0"/>
          <w:numId w:val="5"/>
        </w:numPr>
        <w:spacing w:after="0" w:line="240" w:lineRule="auto"/>
        <w:rPr>
          <w:b/>
          <w:bCs/>
          <w:color w:val="0070C0"/>
          <w:sz w:val="28"/>
          <w:szCs w:val="28"/>
        </w:rPr>
      </w:pPr>
      <w:r>
        <w:rPr>
          <w:b/>
          <w:bCs/>
          <w:color w:val="0070C0"/>
          <w:sz w:val="28"/>
          <w:szCs w:val="28"/>
        </w:rPr>
        <w:t xml:space="preserve">QUELLES SONT SES MISSIONS ? </w:t>
      </w:r>
    </w:p>
    <w:p w14:paraId="57DDCFCC" w14:textId="7D32F3DF" w:rsidR="003661E6" w:rsidRDefault="003661E6" w:rsidP="003661E6">
      <w:pPr>
        <w:spacing w:after="0"/>
        <w:jc w:val="both"/>
      </w:pPr>
      <w:r>
        <w:t xml:space="preserve">Les missions de l’Assistant de Prévention peuvent être multiples et dépendent des besoins de la collectivité et de ses ressources disponibles en matière de santé et de sécurité au travail. De manière générale, les missions peuvent concerner (liste non-exhaustive) : </w:t>
      </w:r>
    </w:p>
    <w:p w14:paraId="7379BA85" w14:textId="77777777" w:rsidR="003661E6" w:rsidRDefault="003661E6" w:rsidP="003661E6">
      <w:pPr>
        <w:pStyle w:val="Paragraphedeliste"/>
        <w:numPr>
          <w:ilvl w:val="0"/>
          <w:numId w:val="9"/>
        </w:numPr>
        <w:spacing w:after="0"/>
        <w:jc w:val="both"/>
      </w:pPr>
      <w:r>
        <w:t>La mise à jour du Document Unique ;</w:t>
      </w:r>
    </w:p>
    <w:p w14:paraId="1FF5725C" w14:textId="77777777" w:rsidR="003661E6" w:rsidRDefault="003661E6" w:rsidP="003661E6">
      <w:pPr>
        <w:pStyle w:val="Paragraphedeliste"/>
        <w:numPr>
          <w:ilvl w:val="0"/>
          <w:numId w:val="9"/>
        </w:numPr>
        <w:spacing w:after="0"/>
        <w:jc w:val="both"/>
      </w:pPr>
      <w:r>
        <w:t>Le déploiement et le suivi des plans d’actions en collaboration avec les responsables de service ;</w:t>
      </w:r>
    </w:p>
    <w:p w14:paraId="2630F895" w14:textId="77777777" w:rsidR="003661E6" w:rsidRDefault="003661E6" w:rsidP="003661E6">
      <w:pPr>
        <w:pStyle w:val="Paragraphedeliste"/>
        <w:numPr>
          <w:ilvl w:val="0"/>
          <w:numId w:val="9"/>
        </w:numPr>
        <w:spacing w:after="0"/>
        <w:jc w:val="both"/>
      </w:pPr>
      <w:r>
        <w:t>Le signalement des situations pouvant porter atteinte à la santé physique et mentale des agents ;</w:t>
      </w:r>
    </w:p>
    <w:p w14:paraId="3FBD38B5" w14:textId="77777777" w:rsidR="003661E6" w:rsidRDefault="003661E6" w:rsidP="003661E6">
      <w:pPr>
        <w:pStyle w:val="Paragraphedeliste"/>
        <w:numPr>
          <w:ilvl w:val="0"/>
          <w:numId w:val="9"/>
        </w:numPr>
        <w:spacing w:after="0"/>
        <w:jc w:val="both"/>
      </w:pPr>
      <w:r>
        <w:t xml:space="preserve">La réalisation d’enquête à la suite d’un accident de travail / service ; </w:t>
      </w:r>
    </w:p>
    <w:p w14:paraId="593543A8" w14:textId="77777777" w:rsidR="003661E6" w:rsidRDefault="003661E6" w:rsidP="003661E6">
      <w:pPr>
        <w:pStyle w:val="Paragraphedeliste"/>
        <w:numPr>
          <w:ilvl w:val="0"/>
          <w:numId w:val="9"/>
        </w:numPr>
        <w:spacing w:after="0"/>
        <w:jc w:val="both"/>
      </w:pPr>
      <w:r>
        <w:t>La gestion des trousses de secours et des armoires à pharmacie ;</w:t>
      </w:r>
    </w:p>
    <w:p w14:paraId="6B715DF1" w14:textId="77777777" w:rsidR="003661E6" w:rsidRDefault="003661E6" w:rsidP="003661E6">
      <w:pPr>
        <w:pStyle w:val="Paragraphedeliste"/>
        <w:numPr>
          <w:ilvl w:val="0"/>
          <w:numId w:val="9"/>
        </w:numPr>
        <w:spacing w:after="0"/>
        <w:jc w:val="both"/>
      </w:pPr>
      <w:r>
        <w:t>La gestion des registres obligatoires (Santé Sécurité au Travail ou Danger Grave et Imminent).</w:t>
      </w:r>
    </w:p>
    <w:p w14:paraId="330E5982" w14:textId="77777777" w:rsidR="003661E6" w:rsidRPr="003661E6" w:rsidRDefault="003661E6" w:rsidP="003661E6">
      <w:pPr>
        <w:spacing w:after="0" w:line="240" w:lineRule="auto"/>
        <w:rPr>
          <w:b/>
          <w:bCs/>
          <w:color w:val="0070C0"/>
          <w:sz w:val="28"/>
          <w:szCs w:val="28"/>
        </w:rPr>
      </w:pPr>
    </w:p>
    <w:p w14:paraId="4650CAFB" w14:textId="7E98CB4B" w:rsidR="003661E6" w:rsidRDefault="003661E6" w:rsidP="00033D25">
      <w:pPr>
        <w:pStyle w:val="Paragraphedeliste"/>
        <w:numPr>
          <w:ilvl w:val="0"/>
          <w:numId w:val="5"/>
        </w:numPr>
        <w:spacing w:after="0" w:line="240" w:lineRule="auto"/>
        <w:rPr>
          <w:b/>
          <w:bCs/>
          <w:color w:val="0070C0"/>
          <w:sz w:val="28"/>
          <w:szCs w:val="28"/>
        </w:rPr>
      </w:pPr>
      <w:r>
        <w:rPr>
          <w:b/>
          <w:bCs/>
          <w:color w:val="0070C0"/>
          <w:sz w:val="28"/>
          <w:szCs w:val="28"/>
        </w:rPr>
        <w:t xml:space="preserve">LA NOMINATION D’UN ASSISTANT DE PRÉVENTION EST-ELLE OBLIGATOIRE ? </w:t>
      </w:r>
    </w:p>
    <w:p w14:paraId="13C40673" w14:textId="24E23C81" w:rsidR="003661E6" w:rsidRPr="003661E6" w:rsidRDefault="003661E6" w:rsidP="003661E6">
      <w:pPr>
        <w:spacing w:after="0"/>
        <w:jc w:val="both"/>
      </w:pPr>
      <w:r>
        <w:t xml:space="preserve">Oui, comme prévu à </w:t>
      </w:r>
      <w:hyperlink r:id="rId9" w:history="1">
        <w:r w:rsidRPr="00530DF3">
          <w:rPr>
            <w:rStyle w:val="Lienhypertexte"/>
          </w:rPr>
          <w:t>l’article 4 du décret n°85-603 du 10 juin 1985</w:t>
        </w:r>
      </w:hyperlink>
      <w:r>
        <w:t xml:space="preserve">, chaque autorité territoriale doit désigner au moins un assistant de prévention dans sa collectivité. </w:t>
      </w:r>
    </w:p>
    <w:p w14:paraId="0AF541FF" w14:textId="77777777" w:rsidR="003661E6" w:rsidRPr="003661E6" w:rsidRDefault="003661E6" w:rsidP="003661E6">
      <w:pPr>
        <w:spacing w:after="0" w:line="240" w:lineRule="auto"/>
        <w:rPr>
          <w:b/>
          <w:bCs/>
          <w:color w:val="0070C0"/>
          <w:sz w:val="28"/>
          <w:szCs w:val="28"/>
        </w:rPr>
      </w:pPr>
    </w:p>
    <w:p w14:paraId="3291B364" w14:textId="327C1A5E" w:rsidR="003661E6" w:rsidRDefault="003661E6" w:rsidP="00033D25">
      <w:pPr>
        <w:pStyle w:val="Paragraphedeliste"/>
        <w:numPr>
          <w:ilvl w:val="0"/>
          <w:numId w:val="5"/>
        </w:numPr>
        <w:spacing w:after="0" w:line="240" w:lineRule="auto"/>
        <w:rPr>
          <w:b/>
          <w:bCs/>
          <w:color w:val="0070C0"/>
          <w:sz w:val="28"/>
          <w:szCs w:val="28"/>
        </w:rPr>
      </w:pPr>
      <w:proofErr w:type="gramStart"/>
      <w:r>
        <w:rPr>
          <w:b/>
          <w:bCs/>
          <w:color w:val="0070C0"/>
          <w:sz w:val="28"/>
          <w:szCs w:val="28"/>
        </w:rPr>
        <w:t>L’</w:t>
      </w:r>
      <w:r w:rsidR="00FC1D0A">
        <w:rPr>
          <w:b/>
          <w:bCs/>
          <w:color w:val="0070C0"/>
          <w:sz w:val="28"/>
          <w:szCs w:val="28"/>
        </w:rPr>
        <w:t> «</w:t>
      </w:r>
      <w:proofErr w:type="gramEnd"/>
      <w:r w:rsidR="00FC1D0A">
        <w:rPr>
          <w:b/>
          <w:bCs/>
          <w:color w:val="0070C0"/>
          <w:sz w:val="28"/>
          <w:szCs w:val="28"/>
        </w:rPr>
        <w:t> </w:t>
      </w:r>
      <w:r>
        <w:rPr>
          <w:b/>
          <w:bCs/>
          <w:color w:val="0070C0"/>
          <w:sz w:val="28"/>
          <w:szCs w:val="28"/>
        </w:rPr>
        <w:t>ACMO</w:t>
      </w:r>
      <w:r w:rsidR="00FC1D0A">
        <w:rPr>
          <w:b/>
          <w:bCs/>
          <w:color w:val="0070C0"/>
          <w:sz w:val="28"/>
          <w:szCs w:val="28"/>
        </w:rPr>
        <w:t> »</w:t>
      </w:r>
      <w:r>
        <w:rPr>
          <w:b/>
          <w:bCs/>
          <w:color w:val="0070C0"/>
          <w:sz w:val="28"/>
          <w:szCs w:val="28"/>
        </w:rPr>
        <w:t xml:space="preserve"> EST-IL CONSIDÉRÉ COMME UN ASSISTANT DE PRÉVENTION ? </w:t>
      </w:r>
    </w:p>
    <w:p w14:paraId="3CB399DB" w14:textId="3FA6C54B" w:rsidR="003661E6" w:rsidRDefault="003661E6" w:rsidP="003661E6">
      <w:pPr>
        <w:spacing w:after="0"/>
        <w:jc w:val="both"/>
      </w:pPr>
      <w:r>
        <w:t>Oui, l’appellation ACMO a disparu depuis 2012 et a été remplacée par le terme « Assistant de Prévention ».</w:t>
      </w:r>
    </w:p>
    <w:p w14:paraId="1AA07583" w14:textId="77777777" w:rsidR="003661E6" w:rsidRDefault="003661E6" w:rsidP="003661E6">
      <w:pPr>
        <w:spacing w:after="0"/>
        <w:jc w:val="both"/>
      </w:pPr>
    </w:p>
    <w:p w14:paraId="78C84908" w14:textId="77777777" w:rsidR="003661E6" w:rsidRDefault="003661E6" w:rsidP="003661E6">
      <w:pPr>
        <w:spacing w:after="0" w:line="240" w:lineRule="auto"/>
        <w:rPr>
          <w:b/>
          <w:bCs/>
          <w:color w:val="0070C0"/>
          <w:sz w:val="28"/>
          <w:szCs w:val="28"/>
        </w:rPr>
      </w:pPr>
    </w:p>
    <w:p w14:paraId="536B6D6A" w14:textId="003ABACD" w:rsidR="003661E6" w:rsidRDefault="003661E6" w:rsidP="00033D25">
      <w:pPr>
        <w:pStyle w:val="Paragraphedeliste"/>
        <w:numPr>
          <w:ilvl w:val="0"/>
          <w:numId w:val="5"/>
        </w:numPr>
        <w:spacing w:after="0" w:line="240" w:lineRule="auto"/>
        <w:rPr>
          <w:b/>
          <w:bCs/>
          <w:color w:val="0070C0"/>
          <w:sz w:val="28"/>
          <w:szCs w:val="28"/>
        </w:rPr>
      </w:pPr>
      <w:r>
        <w:rPr>
          <w:b/>
          <w:bCs/>
          <w:color w:val="0070C0"/>
          <w:sz w:val="28"/>
          <w:szCs w:val="28"/>
        </w:rPr>
        <w:lastRenderedPageBreak/>
        <w:t xml:space="preserve">QUI PEUT ETRE NOMMÉ COMME ASSISTANT DE PRÉVENTION ? </w:t>
      </w:r>
    </w:p>
    <w:p w14:paraId="25944E78" w14:textId="5DA4760B" w:rsidR="002F5993" w:rsidRDefault="003661E6" w:rsidP="003661E6">
      <w:pPr>
        <w:spacing w:after="0"/>
        <w:jc w:val="both"/>
      </w:pPr>
      <w:r>
        <w:t xml:space="preserve">Tout agent motivé, volontaire et ayant un attrait pour les questions relatives à la Santé et la Sécurité au Travail. Avoir des connaissances préalables dans le domaine ne constitue pas un prérequis. La collectivité pourra lancer un appel à candidature. Des affiches sont disponibles et mises à disposition </w:t>
      </w:r>
      <w:r w:rsidR="00B50D82">
        <w:t xml:space="preserve">sur le </w:t>
      </w:r>
      <w:hyperlink r:id="rId10" w:history="1">
        <w:r w:rsidR="00B50D82" w:rsidRPr="00B50D82">
          <w:rPr>
            <w:rStyle w:val="Lienhypertexte"/>
          </w:rPr>
          <w:t>site</w:t>
        </w:r>
      </w:hyperlink>
      <w:r w:rsidR="00B50D82">
        <w:t xml:space="preserve"> (onglets à droite) du CDG</w:t>
      </w:r>
      <w:r>
        <w:t xml:space="preserve"> à des fins de communication auprès des agents. </w:t>
      </w:r>
    </w:p>
    <w:p w14:paraId="6B562105" w14:textId="77777777" w:rsidR="003661E6" w:rsidRPr="003661E6" w:rsidRDefault="003661E6" w:rsidP="003661E6">
      <w:pPr>
        <w:spacing w:after="0" w:line="240" w:lineRule="auto"/>
        <w:rPr>
          <w:b/>
          <w:bCs/>
          <w:color w:val="0070C0"/>
          <w:sz w:val="28"/>
          <w:szCs w:val="28"/>
        </w:rPr>
      </w:pPr>
    </w:p>
    <w:p w14:paraId="5DF3E934" w14:textId="10BEF9CD" w:rsidR="002F5993" w:rsidRDefault="002F5993" w:rsidP="00033D25">
      <w:pPr>
        <w:pStyle w:val="Paragraphedeliste"/>
        <w:numPr>
          <w:ilvl w:val="0"/>
          <w:numId w:val="5"/>
        </w:numPr>
        <w:spacing w:after="0" w:line="240" w:lineRule="auto"/>
        <w:rPr>
          <w:b/>
          <w:bCs/>
          <w:color w:val="0070C0"/>
          <w:sz w:val="28"/>
          <w:szCs w:val="28"/>
        </w:rPr>
      </w:pPr>
      <w:r>
        <w:rPr>
          <w:b/>
          <w:bCs/>
          <w:color w:val="0070C0"/>
          <w:sz w:val="28"/>
          <w:szCs w:val="28"/>
        </w:rPr>
        <w:t xml:space="preserve">COMMENT DOIS-JE NOMMER UN ASSISTANT DE PRÉVENTION ? </w:t>
      </w:r>
    </w:p>
    <w:p w14:paraId="4E78116A" w14:textId="41607F20" w:rsidR="002F5993" w:rsidRDefault="002F5993" w:rsidP="002F5993">
      <w:pPr>
        <w:spacing w:after="0"/>
        <w:jc w:val="both"/>
      </w:pPr>
      <w:bookmarkStart w:id="0" w:name="_Hlk159925253"/>
      <w:r>
        <w:t>L’autorité territoriale doit adresser aux agents une lettre de cadrage et un arrêté de désignation (</w:t>
      </w:r>
      <w:r w:rsidR="00B50D82">
        <w:t xml:space="preserve">disponible sur le </w:t>
      </w:r>
      <w:hyperlink r:id="rId11" w:history="1">
        <w:r w:rsidR="00B50D82" w:rsidRPr="00B50D82">
          <w:rPr>
            <w:rStyle w:val="Lienhypertexte"/>
          </w:rPr>
          <w:t>site</w:t>
        </w:r>
      </w:hyperlink>
      <w:r w:rsidR="00B50D82">
        <w:t xml:space="preserve"> du CDG, onglets à droite</w:t>
      </w:r>
      <w:r>
        <w:t xml:space="preserve">). La lettre de cadrage a notamment pour objectif de définir les conditions et les moyens mis à la disposition des AP pour l’exercice de leurs missions. </w:t>
      </w:r>
    </w:p>
    <w:bookmarkEnd w:id="0"/>
    <w:p w14:paraId="55E7A43A" w14:textId="77777777" w:rsidR="002F5993" w:rsidRDefault="002F5993" w:rsidP="002F5993">
      <w:pPr>
        <w:spacing w:after="0" w:line="240" w:lineRule="auto"/>
        <w:rPr>
          <w:b/>
          <w:bCs/>
          <w:color w:val="0070C0"/>
          <w:sz w:val="28"/>
          <w:szCs w:val="28"/>
        </w:rPr>
      </w:pPr>
    </w:p>
    <w:p w14:paraId="5EF6AEFE" w14:textId="77777777" w:rsidR="002F5993" w:rsidRDefault="002F5993" w:rsidP="002F5993">
      <w:pPr>
        <w:spacing w:after="0"/>
        <w:jc w:val="both"/>
      </w:pPr>
      <w:bookmarkStart w:id="1" w:name="_Hlk159925275"/>
      <w:r>
        <w:t xml:space="preserve">Ces documents devront faire l’objet d’un avis en Formation Spécialisée en Santé, Sécurité et Conditions de Travail (anciennement CHSCT) ou, à défaut, en Comité Social Territorial (anciennement CT). Une copie de ces deux documents devra également être envoyée au Centre de Gestion, Service GRH2. </w:t>
      </w:r>
    </w:p>
    <w:bookmarkEnd w:id="1"/>
    <w:p w14:paraId="39145327" w14:textId="77777777" w:rsidR="002F5993" w:rsidRPr="002F5993" w:rsidRDefault="002F5993" w:rsidP="002F5993">
      <w:pPr>
        <w:spacing w:after="0" w:line="240" w:lineRule="auto"/>
        <w:rPr>
          <w:b/>
          <w:bCs/>
          <w:color w:val="0070C0"/>
          <w:sz w:val="28"/>
          <w:szCs w:val="28"/>
        </w:rPr>
      </w:pPr>
    </w:p>
    <w:p w14:paraId="7A1D5653" w14:textId="3794AE6A" w:rsidR="003661E6" w:rsidRDefault="003661E6" w:rsidP="00033D25">
      <w:pPr>
        <w:pStyle w:val="Paragraphedeliste"/>
        <w:numPr>
          <w:ilvl w:val="0"/>
          <w:numId w:val="5"/>
        </w:numPr>
        <w:spacing w:after="0" w:line="240" w:lineRule="auto"/>
        <w:rPr>
          <w:b/>
          <w:bCs/>
          <w:color w:val="0070C0"/>
          <w:sz w:val="28"/>
          <w:szCs w:val="28"/>
        </w:rPr>
      </w:pPr>
      <w:r>
        <w:rPr>
          <w:b/>
          <w:bCs/>
          <w:color w:val="0070C0"/>
          <w:sz w:val="28"/>
          <w:szCs w:val="28"/>
        </w:rPr>
        <w:t xml:space="preserve">FAUT-IL METTRE AU VOTE LA NOMINATION D’UN ASSISTANT DE PRÉVENTION ? </w:t>
      </w:r>
    </w:p>
    <w:p w14:paraId="0AD548A9" w14:textId="77777777" w:rsidR="002F5993" w:rsidRDefault="002F5993" w:rsidP="002F5993">
      <w:pPr>
        <w:spacing w:after="0"/>
        <w:jc w:val="both"/>
      </w:pPr>
      <w:r w:rsidRPr="00DC2135">
        <w:t>Non, l</w:t>
      </w:r>
      <w:r>
        <w:t xml:space="preserve">a nomination d’un Assistant de Prévention </w:t>
      </w:r>
      <w:r w:rsidRPr="00DC2135">
        <w:t xml:space="preserve">ne nécessite pas de vote puisque les agents sont désignés directement par l’autorité territoriale. </w:t>
      </w:r>
    </w:p>
    <w:p w14:paraId="41EF478E" w14:textId="77777777" w:rsidR="003661E6" w:rsidRPr="003661E6" w:rsidRDefault="003661E6" w:rsidP="003661E6">
      <w:pPr>
        <w:spacing w:after="0" w:line="240" w:lineRule="auto"/>
        <w:rPr>
          <w:b/>
          <w:bCs/>
          <w:color w:val="0070C0"/>
          <w:sz w:val="28"/>
          <w:szCs w:val="28"/>
        </w:rPr>
      </w:pPr>
    </w:p>
    <w:p w14:paraId="56771B6A" w14:textId="1239BD00" w:rsidR="002F5993" w:rsidRDefault="003661E6" w:rsidP="002F5993">
      <w:pPr>
        <w:pStyle w:val="Paragraphedeliste"/>
        <w:numPr>
          <w:ilvl w:val="0"/>
          <w:numId w:val="5"/>
        </w:numPr>
        <w:spacing w:after="0"/>
        <w:rPr>
          <w:b/>
          <w:bCs/>
          <w:color w:val="0070C0"/>
          <w:sz w:val="28"/>
          <w:szCs w:val="28"/>
        </w:rPr>
      </w:pPr>
      <w:r w:rsidRPr="003661E6">
        <w:rPr>
          <w:b/>
          <w:bCs/>
          <w:color w:val="0070C0"/>
          <w:sz w:val="28"/>
          <w:szCs w:val="28"/>
        </w:rPr>
        <w:t xml:space="preserve">LA FONCTION D’ASSISTANT DE PREVENTION DOIT-ELLE ETRE ATTRIBUEE A UNE PERSONNE NEUTRE A LA STRUCTURE ? EST-IL OBLIGATOIRE D’ATTRIBUER CETTE FONCTION A UNE PERSONNE EN INTERNE ? </w:t>
      </w:r>
    </w:p>
    <w:p w14:paraId="64C3084B" w14:textId="77777777" w:rsidR="002F5993" w:rsidRDefault="002F5993" w:rsidP="002F5993">
      <w:pPr>
        <w:spacing w:after="0"/>
        <w:jc w:val="both"/>
      </w:pPr>
      <w:r>
        <w:t xml:space="preserve">Les Assistants de Prévention </w:t>
      </w:r>
      <w:r w:rsidRPr="001373EF">
        <w:t xml:space="preserve">peuvent être des agents de la collectivité ou être mis à disposition par une autre collectivité. </w:t>
      </w:r>
      <w:r>
        <w:t>L</w:t>
      </w:r>
      <w:r w:rsidRPr="001373EF">
        <w:t xml:space="preserve">e niveau hiérarchique de l’agent ne constitue pas un critère de nomination. </w:t>
      </w:r>
      <w:r>
        <w:t>D</w:t>
      </w:r>
      <w:r w:rsidRPr="001373EF">
        <w:t xml:space="preserve">ans tous les cas, l’assistant de prévention ou le conseiller de prévention est désigné par l’autorité territoriale, qui peut donc décider seule de la personne qu’elle souhaite nommer pour occuper ces fonctions. </w:t>
      </w:r>
      <w:r>
        <w:t>S</w:t>
      </w:r>
      <w:r w:rsidRPr="001373EF">
        <w:t xml:space="preserve">i besoin, plusieurs assistants de prévention peuvent être désignés (agents de différents services) afin de répondre à ce principe de neutralité. </w:t>
      </w:r>
    </w:p>
    <w:p w14:paraId="01528F2D" w14:textId="77777777" w:rsidR="002F5993" w:rsidRPr="002F5993" w:rsidRDefault="002F5993" w:rsidP="002F5993">
      <w:pPr>
        <w:spacing w:after="0"/>
        <w:rPr>
          <w:b/>
          <w:bCs/>
          <w:color w:val="0070C0"/>
          <w:sz w:val="28"/>
          <w:szCs w:val="28"/>
        </w:rPr>
      </w:pPr>
    </w:p>
    <w:p w14:paraId="36B01680" w14:textId="0F287645" w:rsidR="003661E6" w:rsidRDefault="003661E6" w:rsidP="003661E6">
      <w:pPr>
        <w:pStyle w:val="Paragraphedeliste"/>
        <w:numPr>
          <w:ilvl w:val="0"/>
          <w:numId w:val="5"/>
        </w:numPr>
        <w:spacing w:after="0"/>
        <w:jc w:val="both"/>
        <w:rPr>
          <w:b/>
          <w:bCs/>
          <w:color w:val="0070C0"/>
          <w:sz w:val="28"/>
          <w:szCs w:val="28"/>
        </w:rPr>
      </w:pPr>
      <w:r w:rsidRPr="003661E6">
        <w:rPr>
          <w:b/>
          <w:bCs/>
          <w:color w:val="0070C0"/>
          <w:sz w:val="28"/>
          <w:szCs w:val="28"/>
        </w:rPr>
        <w:t xml:space="preserve">L’ASSISTANT DE PREVENTION PEUT-IL ETRE </w:t>
      </w:r>
      <w:r w:rsidR="008A68BA">
        <w:rPr>
          <w:b/>
          <w:bCs/>
          <w:color w:val="0070C0"/>
          <w:sz w:val="28"/>
          <w:szCs w:val="28"/>
        </w:rPr>
        <w:t>UN É</w:t>
      </w:r>
      <w:r w:rsidRPr="003661E6">
        <w:rPr>
          <w:b/>
          <w:bCs/>
          <w:color w:val="0070C0"/>
          <w:sz w:val="28"/>
          <w:szCs w:val="28"/>
        </w:rPr>
        <w:t>LU DE LA COLLECTIVIT</w:t>
      </w:r>
      <w:r w:rsidR="008A68BA">
        <w:rPr>
          <w:b/>
          <w:bCs/>
          <w:color w:val="0070C0"/>
          <w:sz w:val="28"/>
          <w:szCs w:val="28"/>
        </w:rPr>
        <w:t>É</w:t>
      </w:r>
      <w:r w:rsidRPr="003661E6">
        <w:rPr>
          <w:b/>
          <w:bCs/>
          <w:color w:val="0070C0"/>
          <w:sz w:val="28"/>
          <w:szCs w:val="28"/>
        </w:rPr>
        <w:t xml:space="preserve"> ? </w:t>
      </w:r>
    </w:p>
    <w:p w14:paraId="031E0F99" w14:textId="6F8E24CF" w:rsidR="002F5993" w:rsidRPr="002F5993" w:rsidRDefault="002F5993" w:rsidP="002F5993">
      <w:pPr>
        <w:jc w:val="both"/>
      </w:pPr>
      <w:r w:rsidRPr="001373EF">
        <w:t xml:space="preserve">Non, un élu ne peut être désigné comme assistant de prévention ou conseiller de prévention. </w:t>
      </w:r>
      <w:r>
        <w:t>L</w:t>
      </w:r>
      <w:r w:rsidRPr="001373EF">
        <w:t xml:space="preserve">es dispositions règlementaires du décret n°85-603 du 10 juin 1985 prévoient que cette fonction soit uniquement assurée par un agent de la collectivité. </w:t>
      </w:r>
      <w:r>
        <w:t>E</w:t>
      </w:r>
      <w:r w:rsidRPr="001373EF">
        <w:t xml:space="preserve">n effet, ce dernier est chargé de « </w:t>
      </w:r>
      <w:hyperlink r:id="rId12" w:history="1">
        <w:r w:rsidRPr="001373EF">
          <w:rPr>
            <w:rStyle w:val="Lienhypertexte"/>
          </w:rPr>
          <w:t>conseiller et d’assister l’autorité territoriale auprès de laquelle il est placé</w:t>
        </w:r>
      </w:hyperlink>
      <w:r w:rsidRPr="001373EF">
        <w:t xml:space="preserve"> ». </w:t>
      </w:r>
      <w:r>
        <w:t>L</w:t>
      </w:r>
      <w:r w:rsidRPr="001373EF">
        <w:t xml:space="preserve">a désignation d’un élu pourrait ainsi </w:t>
      </w:r>
      <w:proofErr w:type="gramStart"/>
      <w:r w:rsidRPr="001373EF">
        <w:t>compromettre</w:t>
      </w:r>
      <w:proofErr w:type="gramEnd"/>
      <w:r w:rsidRPr="001373EF">
        <w:t xml:space="preserve"> ce principe de séparation entre l’autorité territoriale et ses agents. </w:t>
      </w:r>
      <w:r>
        <w:t>N</w:t>
      </w:r>
      <w:r w:rsidRPr="001373EF">
        <w:t>éanmoins, la collectivité peut, si elle le souhaite, nommer un élu référent en matière de santé et sécurité au travail afin de définir les axes de travail et aider l’</w:t>
      </w:r>
      <w:r>
        <w:t xml:space="preserve">Assistant de Prévention </w:t>
      </w:r>
      <w:r w:rsidRPr="001373EF">
        <w:t xml:space="preserve">dans la réalisation de ses missions. </w:t>
      </w:r>
    </w:p>
    <w:p w14:paraId="04EFB504" w14:textId="2C244216" w:rsidR="003661E6" w:rsidRDefault="003661E6" w:rsidP="003661E6">
      <w:pPr>
        <w:pStyle w:val="Paragraphedeliste"/>
        <w:numPr>
          <w:ilvl w:val="0"/>
          <w:numId w:val="5"/>
        </w:numPr>
        <w:spacing w:after="0"/>
        <w:jc w:val="both"/>
        <w:rPr>
          <w:b/>
          <w:bCs/>
          <w:color w:val="0070C0"/>
          <w:sz w:val="28"/>
          <w:szCs w:val="28"/>
        </w:rPr>
      </w:pPr>
      <w:r w:rsidRPr="003661E6">
        <w:rPr>
          <w:b/>
          <w:bCs/>
          <w:color w:val="0070C0"/>
          <w:sz w:val="28"/>
          <w:szCs w:val="28"/>
        </w:rPr>
        <w:t>L’ASSISTANT DE PREVENTION DOIT-IL SUIVRE UNE FORMATION SP</w:t>
      </w:r>
      <w:r w:rsidR="008A68BA">
        <w:rPr>
          <w:b/>
          <w:bCs/>
          <w:color w:val="0070C0"/>
          <w:sz w:val="28"/>
          <w:szCs w:val="28"/>
        </w:rPr>
        <w:t>É</w:t>
      </w:r>
      <w:r w:rsidRPr="003661E6">
        <w:rPr>
          <w:b/>
          <w:bCs/>
          <w:color w:val="0070C0"/>
          <w:sz w:val="28"/>
          <w:szCs w:val="28"/>
        </w:rPr>
        <w:t xml:space="preserve">CIFIQUE ? </w:t>
      </w:r>
    </w:p>
    <w:p w14:paraId="3A6AE103" w14:textId="55DD6DFF" w:rsidR="002F5993" w:rsidRDefault="002F5993" w:rsidP="002F5993">
      <w:pPr>
        <w:suppressAutoHyphens/>
        <w:autoSpaceDN w:val="0"/>
        <w:spacing w:after="0" w:line="254" w:lineRule="auto"/>
        <w:jc w:val="both"/>
        <w:textAlignment w:val="baseline"/>
      </w:pPr>
      <w:r>
        <w:t xml:space="preserve">Oui, comme prévu par </w:t>
      </w:r>
      <w:hyperlink r:id="rId13" w:history="1">
        <w:r w:rsidRPr="0091272A">
          <w:rPr>
            <w:rStyle w:val="Lienhypertexte"/>
          </w:rPr>
          <w:t>l’arrêté du 29 janvier 2015</w:t>
        </w:r>
      </w:hyperlink>
      <w:r>
        <w:t xml:space="preserve">, chaque assistant de prévention doit suivre une formation préalable obligatoire lors de sa première année de nomination et avant sa prise de fonction. Il s’agit d’une formation de 5 jours. A l’année N+1, l’assistant de prévention doit ensuite suivre une formation continue de 2 jours. Les années suivantes, l’assistant de prévention doit suivre à minima un module de formation avec le CNFPT et en lien avec la prévention des risques professionnels. </w:t>
      </w:r>
    </w:p>
    <w:p w14:paraId="44E81182" w14:textId="5FEE393A" w:rsidR="00FC1D0A" w:rsidRDefault="00FC1D0A" w:rsidP="00FC1D0A">
      <w:pPr>
        <w:pStyle w:val="Paragraphedeliste"/>
        <w:numPr>
          <w:ilvl w:val="0"/>
          <w:numId w:val="5"/>
        </w:numPr>
        <w:suppressAutoHyphens/>
        <w:autoSpaceDN w:val="0"/>
        <w:spacing w:after="0" w:line="254" w:lineRule="auto"/>
        <w:jc w:val="both"/>
        <w:textAlignment w:val="baseline"/>
        <w:rPr>
          <w:b/>
          <w:bCs/>
          <w:color w:val="0070C0"/>
          <w:sz w:val="28"/>
          <w:szCs w:val="28"/>
        </w:rPr>
      </w:pPr>
      <w:r w:rsidRPr="00FC1D0A">
        <w:rPr>
          <w:b/>
          <w:bCs/>
          <w:color w:val="0070C0"/>
          <w:sz w:val="28"/>
          <w:szCs w:val="28"/>
        </w:rPr>
        <w:lastRenderedPageBreak/>
        <w:t xml:space="preserve">UN </w:t>
      </w:r>
      <w:r>
        <w:rPr>
          <w:b/>
          <w:bCs/>
          <w:color w:val="0070C0"/>
          <w:sz w:val="28"/>
          <w:szCs w:val="28"/>
        </w:rPr>
        <w:t>AGENT AYANT ÉTÉ NOMMÉ COMME « </w:t>
      </w:r>
      <w:r w:rsidRPr="00FC1D0A">
        <w:rPr>
          <w:b/>
          <w:bCs/>
          <w:color w:val="0070C0"/>
          <w:sz w:val="28"/>
          <w:szCs w:val="28"/>
        </w:rPr>
        <w:t>ACMO</w:t>
      </w:r>
      <w:r>
        <w:rPr>
          <w:b/>
          <w:bCs/>
          <w:color w:val="0070C0"/>
          <w:sz w:val="28"/>
          <w:szCs w:val="28"/>
        </w:rPr>
        <w:t xml:space="preserve"> » </w:t>
      </w:r>
      <w:r w:rsidRPr="00FC1D0A">
        <w:rPr>
          <w:b/>
          <w:bCs/>
          <w:color w:val="0070C0"/>
          <w:sz w:val="28"/>
          <w:szCs w:val="28"/>
        </w:rPr>
        <w:t xml:space="preserve">DOIT-IL </w:t>
      </w:r>
      <w:r w:rsidR="00434C5C">
        <w:rPr>
          <w:b/>
          <w:bCs/>
          <w:color w:val="0070C0"/>
          <w:sz w:val="28"/>
          <w:szCs w:val="28"/>
        </w:rPr>
        <w:t>RESUIVRE CE CURSUS DE FORMATION ?</w:t>
      </w:r>
      <w:r w:rsidRPr="00FC1D0A">
        <w:rPr>
          <w:b/>
          <w:bCs/>
          <w:color w:val="0070C0"/>
          <w:sz w:val="28"/>
          <w:szCs w:val="28"/>
        </w:rPr>
        <w:t xml:space="preserve"> </w:t>
      </w:r>
    </w:p>
    <w:p w14:paraId="6CA02734" w14:textId="41D3960E" w:rsidR="00FC1D0A" w:rsidRPr="00FC1D0A" w:rsidRDefault="00FC1D0A" w:rsidP="00FC1D0A">
      <w:pPr>
        <w:suppressAutoHyphens/>
        <w:autoSpaceDN w:val="0"/>
        <w:spacing w:after="0" w:line="254" w:lineRule="auto"/>
        <w:jc w:val="both"/>
        <w:textAlignment w:val="baseline"/>
      </w:pPr>
      <w:r w:rsidRPr="00FC1D0A">
        <w:t xml:space="preserve">Non, </w:t>
      </w:r>
      <w:r w:rsidR="002C70C0">
        <w:t>l</w:t>
      </w:r>
      <w:r>
        <w:t xml:space="preserve">es agents ayant été nommés comme ACMO </w:t>
      </w:r>
      <w:r w:rsidR="002C70C0">
        <w:t>et qui ont</w:t>
      </w:r>
      <w:r>
        <w:t xml:space="preserve"> suivis ces formations</w:t>
      </w:r>
      <w:r w:rsidR="002C70C0">
        <w:t xml:space="preserve"> avant 2012</w:t>
      </w:r>
      <w:r>
        <w:t xml:space="preserve">, </w:t>
      </w:r>
      <w:r w:rsidR="002C70C0">
        <w:t xml:space="preserve">n’ont pas l’obligation de resuivre ce cursus. </w:t>
      </w:r>
      <w:r>
        <w:t>En effet, le programme reste similair</w:t>
      </w:r>
      <w:r w:rsidR="002C70C0">
        <w:t>e</w:t>
      </w:r>
      <w:r>
        <w:t>.</w:t>
      </w:r>
      <w:r w:rsidR="001D6D07">
        <w:t xml:space="preserve"> Toutefois, la désignation d’un ACMO remontant </w:t>
      </w:r>
      <w:r w:rsidR="002C70C0">
        <w:t xml:space="preserve">avant </w:t>
      </w:r>
      <w:r w:rsidR="001D6D07">
        <w:t xml:space="preserve">2012, il est parfois possible que les agents expriment un besoin de se remettre à niveau. </w:t>
      </w:r>
      <w:r w:rsidR="002816A2">
        <w:t>Dans ce cadre</w:t>
      </w:r>
      <w:r w:rsidR="001D6D07">
        <w:t>, il est possible de demander à leur employeur de suivre à nouveau ce cursus de formation</w:t>
      </w:r>
      <w:r w:rsidR="00906AE3">
        <w:t xml:space="preserve">. </w:t>
      </w:r>
    </w:p>
    <w:p w14:paraId="3B0D3C7E" w14:textId="77777777" w:rsidR="00FC1D0A" w:rsidRPr="002F5993" w:rsidRDefault="00FC1D0A" w:rsidP="00FC1D0A">
      <w:pPr>
        <w:pStyle w:val="Paragraphedeliste"/>
        <w:suppressAutoHyphens/>
        <w:autoSpaceDN w:val="0"/>
        <w:spacing w:after="0" w:line="254" w:lineRule="auto"/>
        <w:ind w:left="360"/>
        <w:jc w:val="both"/>
        <w:textAlignment w:val="baseline"/>
      </w:pPr>
    </w:p>
    <w:p w14:paraId="5E56E5C8" w14:textId="1745ACC9" w:rsidR="003661E6" w:rsidRPr="003661E6" w:rsidRDefault="003661E6" w:rsidP="003661E6">
      <w:pPr>
        <w:pStyle w:val="Paragraphedeliste"/>
        <w:numPr>
          <w:ilvl w:val="0"/>
          <w:numId w:val="5"/>
        </w:numPr>
        <w:suppressAutoHyphens/>
        <w:autoSpaceDN w:val="0"/>
        <w:spacing w:after="0" w:line="254" w:lineRule="auto"/>
        <w:jc w:val="both"/>
        <w:textAlignment w:val="baseline"/>
        <w:rPr>
          <w:b/>
          <w:bCs/>
          <w:color w:val="0070C0"/>
          <w:sz w:val="28"/>
          <w:szCs w:val="28"/>
        </w:rPr>
      </w:pPr>
      <w:r w:rsidRPr="003661E6">
        <w:rPr>
          <w:b/>
          <w:bCs/>
          <w:color w:val="0070C0"/>
          <w:sz w:val="28"/>
          <w:szCs w:val="28"/>
        </w:rPr>
        <w:t xml:space="preserve">OU DOIS-JE INSCRIRE MON ASSISTANT DE PREVENTION POUR SUIVRE CES FORMATIONS ? </w:t>
      </w:r>
    </w:p>
    <w:p w14:paraId="0CA8C95F" w14:textId="6FD9B235" w:rsidR="002F5993" w:rsidRDefault="002F5993" w:rsidP="002F5993">
      <w:pPr>
        <w:suppressAutoHyphens/>
        <w:autoSpaceDN w:val="0"/>
        <w:spacing w:after="0" w:line="254" w:lineRule="auto"/>
        <w:jc w:val="both"/>
        <w:textAlignment w:val="baseline"/>
      </w:pPr>
      <w:r>
        <w:t xml:space="preserve">Pour 2024, le CNFPT propose plusieurs sessions de formation sur le département de la Charente (voir tableau ci-dessous). Pour une demande d’inscription, la collectivité doit </w:t>
      </w:r>
      <w:r w:rsidR="008A68BA">
        <w:t>prendre contact avec le</w:t>
      </w:r>
      <w:r>
        <w:t xml:space="preserve"> Service Hygiène, Sécurité et Conditions de Travail du CDG16. </w:t>
      </w:r>
    </w:p>
    <w:p w14:paraId="4241F9B5" w14:textId="77777777" w:rsidR="002F5993" w:rsidRDefault="002F5993" w:rsidP="002F5993">
      <w:pPr>
        <w:pStyle w:val="Paragraphedeliste"/>
        <w:suppressAutoHyphens/>
        <w:autoSpaceDN w:val="0"/>
        <w:spacing w:after="0" w:line="254" w:lineRule="auto"/>
        <w:ind w:left="360"/>
        <w:jc w:val="both"/>
        <w:textAlignment w:val="baseline"/>
      </w:pPr>
    </w:p>
    <w:tbl>
      <w:tblPr>
        <w:tblStyle w:val="Grilledutableau"/>
        <w:tblW w:w="0" w:type="auto"/>
        <w:tblLook w:val="04A0" w:firstRow="1" w:lastRow="0" w:firstColumn="1" w:lastColumn="0" w:noHBand="0" w:noVBand="1"/>
      </w:tblPr>
      <w:tblGrid>
        <w:gridCol w:w="1555"/>
        <w:gridCol w:w="4109"/>
        <w:gridCol w:w="3396"/>
      </w:tblGrid>
      <w:tr w:rsidR="002F5993" w14:paraId="39741C7F" w14:textId="77777777" w:rsidTr="00C85E3F">
        <w:tc>
          <w:tcPr>
            <w:tcW w:w="1555" w:type="dxa"/>
            <w:shd w:val="clear" w:color="auto" w:fill="0070C0"/>
          </w:tcPr>
          <w:p w14:paraId="7815776E" w14:textId="77777777" w:rsidR="002F5993" w:rsidRPr="001C664B" w:rsidRDefault="002F5993" w:rsidP="00C85E3F">
            <w:pPr>
              <w:suppressAutoHyphens/>
              <w:autoSpaceDN w:val="0"/>
              <w:spacing w:line="254" w:lineRule="auto"/>
              <w:jc w:val="both"/>
              <w:textAlignment w:val="baseline"/>
              <w:rPr>
                <w:color w:val="FFFFFF" w:themeColor="background1"/>
              </w:rPr>
            </w:pPr>
          </w:p>
        </w:tc>
        <w:tc>
          <w:tcPr>
            <w:tcW w:w="4110" w:type="dxa"/>
            <w:shd w:val="clear" w:color="auto" w:fill="0070C0"/>
          </w:tcPr>
          <w:p w14:paraId="6A93BFA1" w14:textId="77777777" w:rsidR="002F5993" w:rsidRPr="001C664B" w:rsidRDefault="002F5993" w:rsidP="00C85E3F">
            <w:pPr>
              <w:suppressAutoHyphens/>
              <w:autoSpaceDN w:val="0"/>
              <w:spacing w:line="254" w:lineRule="auto"/>
              <w:jc w:val="both"/>
              <w:textAlignment w:val="baseline"/>
              <w:rPr>
                <w:b/>
                <w:bCs/>
                <w:color w:val="FFFFFF" w:themeColor="background1"/>
              </w:rPr>
            </w:pPr>
            <w:r w:rsidRPr="001C664B">
              <w:rPr>
                <w:b/>
                <w:bCs/>
                <w:color w:val="FFFFFF" w:themeColor="background1"/>
              </w:rPr>
              <w:t>Formation préalable</w:t>
            </w:r>
          </w:p>
        </w:tc>
        <w:tc>
          <w:tcPr>
            <w:tcW w:w="3397" w:type="dxa"/>
            <w:shd w:val="clear" w:color="auto" w:fill="0070C0"/>
          </w:tcPr>
          <w:p w14:paraId="412B6951" w14:textId="77777777" w:rsidR="002F5993" w:rsidRPr="001C664B" w:rsidRDefault="002F5993" w:rsidP="00C85E3F">
            <w:pPr>
              <w:suppressAutoHyphens/>
              <w:autoSpaceDN w:val="0"/>
              <w:spacing w:line="254" w:lineRule="auto"/>
              <w:jc w:val="both"/>
              <w:textAlignment w:val="baseline"/>
              <w:rPr>
                <w:b/>
                <w:bCs/>
                <w:color w:val="FFFFFF" w:themeColor="background1"/>
              </w:rPr>
            </w:pPr>
            <w:r w:rsidRPr="001C664B">
              <w:rPr>
                <w:b/>
                <w:bCs/>
                <w:color w:val="FFFFFF" w:themeColor="background1"/>
              </w:rPr>
              <w:t>Formation continue (N+1)</w:t>
            </w:r>
          </w:p>
        </w:tc>
      </w:tr>
      <w:tr w:rsidR="002F5993" w14:paraId="0E0CDCCE" w14:textId="77777777" w:rsidTr="00C85E3F">
        <w:tc>
          <w:tcPr>
            <w:tcW w:w="1555" w:type="dxa"/>
            <w:shd w:val="clear" w:color="auto" w:fill="0070C0"/>
          </w:tcPr>
          <w:p w14:paraId="36760655" w14:textId="77777777" w:rsidR="002F5993" w:rsidRPr="001C664B" w:rsidRDefault="002F5993" w:rsidP="00C85E3F">
            <w:pPr>
              <w:suppressAutoHyphens/>
              <w:autoSpaceDN w:val="0"/>
              <w:spacing w:line="254" w:lineRule="auto"/>
              <w:jc w:val="both"/>
              <w:textAlignment w:val="baseline"/>
              <w:rPr>
                <w:b/>
                <w:bCs/>
                <w:color w:val="FFFFFF" w:themeColor="background1"/>
              </w:rPr>
            </w:pPr>
            <w:r w:rsidRPr="001C664B">
              <w:rPr>
                <w:b/>
                <w:bCs/>
                <w:color w:val="FFFFFF" w:themeColor="background1"/>
              </w:rPr>
              <w:t>1</w:t>
            </w:r>
            <w:r w:rsidRPr="001C664B">
              <w:rPr>
                <w:b/>
                <w:bCs/>
                <w:color w:val="FFFFFF" w:themeColor="background1"/>
                <w:vertAlign w:val="superscript"/>
              </w:rPr>
              <w:t>ère</w:t>
            </w:r>
            <w:r w:rsidRPr="001C664B">
              <w:rPr>
                <w:b/>
                <w:bCs/>
                <w:color w:val="FFFFFF" w:themeColor="background1"/>
              </w:rPr>
              <w:t xml:space="preserve"> session</w:t>
            </w:r>
          </w:p>
        </w:tc>
        <w:tc>
          <w:tcPr>
            <w:tcW w:w="4110" w:type="dxa"/>
          </w:tcPr>
          <w:p w14:paraId="68DDCEAE" w14:textId="77777777" w:rsidR="002F5993" w:rsidRDefault="002F5993" w:rsidP="00C85E3F">
            <w:pPr>
              <w:suppressAutoHyphens/>
              <w:autoSpaceDN w:val="0"/>
              <w:spacing w:line="254" w:lineRule="auto"/>
              <w:jc w:val="both"/>
              <w:textAlignment w:val="baseline"/>
            </w:pPr>
            <w:r>
              <w:t>10-11-12 avril et 16-17 mai 2024</w:t>
            </w:r>
          </w:p>
        </w:tc>
        <w:tc>
          <w:tcPr>
            <w:tcW w:w="3397" w:type="dxa"/>
          </w:tcPr>
          <w:p w14:paraId="204EE751" w14:textId="77777777" w:rsidR="002F5993" w:rsidRDefault="002F5993" w:rsidP="00C85E3F">
            <w:pPr>
              <w:suppressAutoHyphens/>
              <w:autoSpaceDN w:val="0"/>
              <w:spacing w:line="254" w:lineRule="auto"/>
              <w:jc w:val="both"/>
              <w:textAlignment w:val="baseline"/>
            </w:pPr>
            <w:r>
              <w:t>14 et 15 mai 2024</w:t>
            </w:r>
          </w:p>
        </w:tc>
      </w:tr>
      <w:tr w:rsidR="002F5993" w14:paraId="5EB092C1" w14:textId="77777777" w:rsidTr="00C85E3F">
        <w:tc>
          <w:tcPr>
            <w:tcW w:w="1555" w:type="dxa"/>
            <w:shd w:val="clear" w:color="auto" w:fill="0070C0"/>
          </w:tcPr>
          <w:p w14:paraId="1E7F7E2A" w14:textId="77777777" w:rsidR="002F5993" w:rsidRPr="001C664B" w:rsidRDefault="002F5993" w:rsidP="00C85E3F">
            <w:pPr>
              <w:suppressAutoHyphens/>
              <w:autoSpaceDN w:val="0"/>
              <w:spacing w:line="254" w:lineRule="auto"/>
              <w:jc w:val="both"/>
              <w:textAlignment w:val="baseline"/>
              <w:rPr>
                <w:b/>
                <w:bCs/>
                <w:color w:val="FFFFFF" w:themeColor="background1"/>
              </w:rPr>
            </w:pPr>
            <w:r w:rsidRPr="001C664B">
              <w:rPr>
                <w:b/>
                <w:bCs/>
                <w:color w:val="FFFFFF" w:themeColor="background1"/>
              </w:rPr>
              <w:t>2</w:t>
            </w:r>
            <w:r w:rsidRPr="001C664B">
              <w:rPr>
                <w:b/>
                <w:bCs/>
                <w:color w:val="FFFFFF" w:themeColor="background1"/>
                <w:vertAlign w:val="superscript"/>
              </w:rPr>
              <w:t>ème</w:t>
            </w:r>
            <w:r w:rsidRPr="001C664B">
              <w:rPr>
                <w:b/>
                <w:bCs/>
                <w:color w:val="FFFFFF" w:themeColor="background1"/>
              </w:rPr>
              <w:t xml:space="preserve"> session</w:t>
            </w:r>
          </w:p>
        </w:tc>
        <w:tc>
          <w:tcPr>
            <w:tcW w:w="4110" w:type="dxa"/>
          </w:tcPr>
          <w:p w14:paraId="1C17D4FF" w14:textId="77777777" w:rsidR="002F5993" w:rsidRDefault="002F5993" w:rsidP="00C85E3F">
            <w:pPr>
              <w:suppressAutoHyphens/>
              <w:autoSpaceDN w:val="0"/>
              <w:spacing w:line="254" w:lineRule="auto"/>
              <w:jc w:val="both"/>
              <w:textAlignment w:val="baseline"/>
            </w:pPr>
            <w:r>
              <w:t>11-12-13 septembre et 17-18 octobre 2024</w:t>
            </w:r>
          </w:p>
        </w:tc>
        <w:tc>
          <w:tcPr>
            <w:tcW w:w="3397" w:type="dxa"/>
          </w:tcPr>
          <w:p w14:paraId="5952F5E7" w14:textId="77777777" w:rsidR="002F5993" w:rsidRDefault="002F5993" w:rsidP="00C85E3F">
            <w:pPr>
              <w:suppressAutoHyphens/>
              <w:autoSpaceDN w:val="0"/>
              <w:spacing w:line="254" w:lineRule="auto"/>
              <w:jc w:val="both"/>
              <w:textAlignment w:val="baseline"/>
            </w:pPr>
            <w:r>
              <w:t>15 et 16 mai 2024</w:t>
            </w:r>
          </w:p>
        </w:tc>
      </w:tr>
    </w:tbl>
    <w:p w14:paraId="36FAEF46" w14:textId="77777777" w:rsidR="002F5993" w:rsidRDefault="002F5993" w:rsidP="002F5993">
      <w:pPr>
        <w:pStyle w:val="Paragraphedeliste"/>
        <w:suppressAutoHyphens/>
        <w:autoSpaceDN w:val="0"/>
        <w:spacing w:after="0" w:line="254" w:lineRule="auto"/>
        <w:ind w:left="360"/>
        <w:jc w:val="both"/>
        <w:textAlignment w:val="baseline"/>
      </w:pPr>
    </w:p>
    <w:p w14:paraId="53BA1F41" w14:textId="77777777" w:rsidR="002F5993" w:rsidRPr="002F5993" w:rsidRDefault="002F5993" w:rsidP="002F5993">
      <w:pPr>
        <w:suppressAutoHyphens/>
        <w:autoSpaceDN w:val="0"/>
        <w:spacing w:after="0" w:line="254" w:lineRule="auto"/>
        <w:jc w:val="both"/>
        <w:textAlignment w:val="baseline"/>
        <w:rPr>
          <w:b/>
          <w:bCs/>
        </w:rPr>
      </w:pPr>
      <w:r w:rsidRPr="002F5993">
        <w:rPr>
          <w:b/>
          <w:bCs/>
        </w:rPr>
        <w:t xml:space="preserve">Pour plus d’informations, merci de contacter le Service Hygiène, Sécurité et Conditions de Travail : </w:t>
      </w:r>
    </w:p>
    <w:p w14:paraId="264DDDC0" w14:textId="77777777" w:rsidR="002F5993" w:rsidRDefault="002F5993" w:rsidP="002F5993">
      <w:pPr>
        <w:pStyle w:val="Paragraphedeliste"/>
        <w:suppressAutoHyphens/>
        <w:autoSpaceDN w:val="0"/>
        <w:spacing w:after="0" w:line="254" w:lineRule="auto"/>
        <w:ind w:left="360"/>
        <w:jc w:val="both"/>
        <w:textAlignment w:val="baseline"/>
      </w:pPr>
      <w:r>
        <w:t xml:space="preserve">Madame Naïs BOUTENÈGRE : </w:t>
      </w:r>
      <w:hyperlink r:id="rId14" w:history="1">
        <w:r w:rsidRPr="0073493A">
          <w:rPr>
            <w:rStyle w:val="Lienhypertexte"/>
          </w:rPr>
          <w:t>n.boutenegre@cdg16.fr</w:t>
        </w:r>
      </w:hyperlink>
      <w:r>
        <w:t xml:space="preserve"> – 05 45 69 45 85</w:t>
      </w:r>
    </w:p>
    <w:p w14:paraId="1440E020" w14:textId="77777777" w:rsidR="002F5993" w:rsidRPr="001C664B" w:rsidRDefault="002F5993" w:rsidP="002F5993">
      <w:pPr>
        <w:pStyle w:val="Paragraphedeliste"/>
        <w:suppressAutoHyphens/>
        <w:autoSpaceDN w:val="0"/>
        <w:spacing w:after="0" w:line="254" w:lineRule="auto"/>
        <w:ind w:left="360"/>
        <w:jc w:val="both"/>
        <w:textAlignment w:val="baseline"/>
      </w:pPr>
      <w:r>
        <w:t xml:space="preserve">Madame Sigrid COLIAT : </w:t>
      </w:r>
      <w:hyperlink r:id="rId15" w:history="1">
        <w:r w:rsidRPr="0073493A">
          <w:rPr>
            <w:rStyle w:val="Lienhypertexte"/>
          </w:rPr>
          <w:t>s.coliat@cdg16.fr</w:t>
        </w:r>
      </w:hyperlink>
      <w:r>
        <w:t xml:space="preserve"> – 05 45 69 45 77</w:t>
      </w:r>
    </w:p>
    <w:p w14:paraId="109D63EF" w14:textId="088E55E3" w:rsidR="005C6F6A" w:rsidRDefault="005C6F6A" w:rsidP="003661E6">
      <w:pPr>
        <w:spacing w:after="0" w:line="240" w:lineRule="auto"/>
        <w:rPr>
          <w:sz w:val="21"/>
          <w:szCs w:val="21"/>
        </w:rPr>
      </w:pPr>
    </w:p>
    <w:p w14:paraId="2E1DB0F5" w14:textId="77777777" w:rsidR="00FC1D0A" w:rsidRPr="003661E6" w:rsidRDefault="00FC1D0A" w:rsidP="003661E6">
      <w:pPr>
        <w:spacing w:after="0" w:line="240" w:lineRule="auto"/>
        <w:rPr>
          <w:sz w:val="21"/>
          <w:szCs w:val="21"/>
        </w:rPr>
      </w:pPr>
    </w:p>
    <w:sectPr w:rsidR="00FC1D0A" w:rsidRPr="003661E6" w:rsidSect="00C632E5">
      <w:footerReference w:type="default" r:id="rId16"/>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FF821" w14:textId="77777777" w:rsidR="00C632E5" w:rsidRDefault="00C632E5" w:rsidP="00BB62B3">
      <w:pPr>
        <w:spacing w:after="0" w:line="240" w:lineRule="auto"/>
      </w:pPr>
      <w:r>
        <w:separator/>
      </w:r>
    </w:p>
  </w:endnote>
  <w:endnote w:type="continuationSeparator" w:id="0">
    <w:p w14:paraId="0B8080B4" w14:textId="77777777" w:rsidR="00C632E5" w:rsidRDefault="00C632E5"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D4" w14:textId="7BFCE9B0" w:rsidR="00BB62B3" w:rsidRPr="00BB62B3" w:rsidRDefault="00BB62B3" w:rsidP="00BB62B3">
    <w:pPr>
      <w:pStyle w:val="Pieddepage"/>
      <w:jc w:val="center"/>
      <w:rPr>
        <w:color w:val="0070C0"/>
        <w:sz w:val="20"/>
        <w:szCs w:val="20"/>
      </w:rPr>
    </w:pPr>
    <w:r w:rsidRPr="00BB62B3">
      <w:rPr>
        <w:color w:val="0070C0"/>
        <w:sz w:val="20"/>
        <w:szCs w:val="20"/>
      </w:rPr>
      <w:t>30, rue Denis Papin – CS 12213 – 16022 ANGOULÊME Cedex – 05.45.69.70.02 – cdg16@cdg16.fr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2CCBC" w14:textId="77777777" w:rsidR="00C632E5" w:rsidRDefault="00C632E5" w:rsidP="00BB62B3">
      <w:pPr>
        <w:spacing w:after="0" w:line="240" w:lineRule="auto"/>
      </w:pPr>
      <w:r>
        <w:separator/>
      </w:r>
    </w:p>
  </w:footnote>
  <w:footnote w:type="continuationSeparator" w:id="0">
    <w:p w14:paraId="7642187B" w14:textId="77777777" w:rsidR="00C632E5" w:rsidRDefault="00C632E5"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E49"/>
    <w:multiLevelType w:val="multilevel"/>
    <w:tmpl w:val="9DA2B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C870CE"/>
    <w:multiLevelType w:val="hybridMultilevel"/>
    <w:tmpl w:val="F88A51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B96ACF"/>
    <w:multiLevelType w:val="hybridMultilevel"/>
    <w:tmpl w:val="3E549992"/>
    <w:lvl w:ilvl="0" w:tplc="B554F290">
      <w:start w:val="5"/>
      <w:numFmt w:val="bullet"/>
      <w:lvlText w:val="-"/>
      <w:lvlJc w:val="left"/>
      <w:pPr>
        <w:ind w:left="1068" w:hanging="360"/>
      </w:pPr>
      <w:rPr>
        <w:rFonts w:ascii="Calibri" w:eastAsia="Malgun Gothic"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4"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FD4EBD"/>
    <w:multiLevelType w:val="hybridMultilevel"/>
    <w:tmpl w:val="A4D62A16"/>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60C6D4C"/>
    <w:multiLevelType w:val="hybridMultilevel"/>
    <w:tmpl w:val="D366A0B6"/>
    <w:lvl w:ilvl="0" w:tplc="56C2E82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2E565F4"/>
    <w:multiLevelType w:val="hybridMultilevel"/>
    <w:tmpl w:val="182A7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20E757D"/>
    <w:multiLevelType w:val="hybridMultilevel"/>
    <w:tmpl w:val="1F5085EC"/>
    <w:lvl w:ilvl="0" w:tplc="56C2E820">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39A34D5"/>
    <w:multiLevelType w:val="hybridMultilevel"/>
    <w:tmpl w:val="0D70C96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972401808">
    <w:abstractNumId w:val="4"/>
  </w:num>
  <w:num w:numId="2" w16cid:durableId="54090902">
    <w:abstractNumId w:val="3"/>
  </w:num>
  <w:num w:numId="3" w16cid:durableId="1412508471">
    <w:abstractNumId w:val="1"/>
  </w:num>
  <w:num w:numId="4" w16cid:durableId="397943361">
    <w:abstractNumId w:val="0"/>
  </w:num>
  <w:num w:numId="5" w16cid:durableId="79722050">
    <w:abstractNumId w:val="5"/>
  </w:num>
  <w:num w:numId="6" w16cid:durableId="1760638886">
    <w:abstractNumId w:val="2"/>
  </w:num>
  <w:num w:numId="7" w16cid:durableId="303967857">
    <w:abstractNumId w:val="7"/>
  </w:num>
  <w:num w:numId="8" w16cid:durableId="257756667">
    <w:abstractNumId w:val="8"/>
  </w:num>
  <w:num w:numId="9" w16cid:durableId="1156410044">
    <w:abstractNumId w:val="6"/>
  </w:num>
  <w:num w:numId="10" w16cid:durableId="3200379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33D25"/>
    <w:rsid w:val="00162738"/>
    <w:rsid w:val="001D6D07"/>
    <w:rsid w:val="002213BC"/>
    <w:rsid w:val="00233B0E"/>
    <w:rsid w:val="002816A2"/>
    <w:rsid w:val="002C70C0"/>
    <w:rsid w:val="002F5993"/>
    <w:rsid w:val="003661E6"/>
    <w:rsid w:val="00434C5C"/>
    <w:rsid w:val="005C39B1"/>
    <w:rsid w:val="005C6F6A"/>
    <w:rsid w:val="005D1B3D"/>
    <w:rsid w:val="006F6D32"/>
    <w:rsid w:val="007B62FC"/>
    <w:rsid w:val="00800D11"/>
    <w:rsid w:val="008856D2"/>
    <w:rsid w:val="008A68BA"/>
    <w:rsid w:val="00906AE3"/>
    <w:rsid w:val="009779A0"/>
    <w:rsid w:val="00B10E96"/>
    <w:rsid w:val="00B50D82"/>
    <w:rsid w:val="00B64AF3"/>
    <w:rsid w:val="00BB62B3"/>
    <w:rsid w:val="00C502A8"/>
    <w:rsid w:val="00C632E5"/>
    <w:rsid w:val="00C65B94"/>
    <w:rsid w:val="00C65FD0"/>
    <w:rsid w:val="00D31863"/>
    <w:rsid w:val="00E82163"/>
    <w:rsid w:val="00F61C59"/>
    <w:rsid w:val="00FC1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A68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character" w:styleId="Lienhypertexte">
    <w:name w:val="Hyperlink"/>
    <w:basedOn w:val="Policepardfaut"/>
    <w:uiPriority w:val="99"/>
    <w:unhideWhenUsed/>
    <w:rsid w:val="00033D25"/>
    <w:rPr>
      <w:color w:val="0000FF"/>
      <w:u w:val="single"/>
    </w:rPr>
  </w:style>
  <w:style w:type="paragraph" w:styleId="NormalWeb">
    <w:name w:val="Normal (Web)"/>
    <w:basedOn w:val="Normal"/>
    <w:uiPriority w:val="99"/>
    <w:semiHidden/>
    <w:unhideWhenUsed/>
    <w:rsid w:val="003661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tejustify">
    <w:name w:val="rtejustify"/>
    <w:basedOn w:val="Normal"/>
    <w:rsid w:val="003661E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2F59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A68BA"/>
    <w:rPr>
      <w:rFonts w:ascii="Times New Roman" w:eastAsia="Times New Roman" w:hAnsi="Times New Roman" w:cs="Times New Roman"/>
      <w:b/>
      <w:bCs/>
      <w:kern w:val="36"/>
      <w:sz w:val="48"/>
      <w:szCs w:val="48"/>
      <w:lang w:eastAsia="fr-FR"/>
    </w:rPr>
  </w:style>
  <w:style w:type="character" w:styleId="Mentionnonrsolue">
    <w:name w:val="Unresolved Mention"/>
    <w:basedOn w:val="Policepardfaut"/>
    <w:uiPriority w:val="99"/>
    <w:semiHidden/>
    <w:unhideWhenUsed/>
    <w:rsid w:val="00B50D82"/>
    <w:rPr>
      <w:color w:val="605E5C"/>
      <w:shd w:val="clear" w:color="auto" w:fill="E1DFDD"/>
    </w:rPr>
  </w:style>
  <w:style w:type="character" w:styleId="Lienhypertextesuivivisit">
    <w:name w:val="FollowedHyperlink"/>
    <w:basedOn w:val="Policepardfaut"/>
    <w:uiPriority w:val="99"/>
    <w:semiHidden/>
    <w:unhideWhenUsed/>
    <w:rsid w:val="00B50D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loda/id/JORFTEXT00003019555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loda/article_lc/LEGIARTI000043498252/2023-09-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g16.fr/les-acteurs-de-la-prevention/" TargetMode="External"/><Relationship Id="rId5" Type="http://schemas.openxmlformats.org/officeDocument/2006/relationships/webSettings" Target="webSettings.xml"/><Relationship Id="rId15" Type="http://schemas.openxmlformats.org/officeDocument/2006/relationships/hyperlink" Target="mailto:s.coliat@cdg16.fr" TargetMode="External"/><Relationship Id="rId10" Type="http://schemas.openxmlformats.org/officeDocument/2006/relationships/hyperlink" Target="https://www.cdg16.fr/les-acteurs-de-la-prevention/" TargetMode="External"/><Relationship Id="rId4" Type="http://schemas.openxmlformats.org/officeDocument/2006/relationships/settings" Target="settings.xml"/><Relationship Id="rId9" Type="http://schemas.openxmlformats.org/officeDocument/2006/relationships/hyperlink" Target="https://www.legifrance.gouv.fr/loda/article_lc/LEGIARTI000043498266/2024-02-27/" TargetMode="External"/><Relationship Id="rId14" Type="http://schemas.openxmlformats.org/officeDocument/2006/relationships/hyperlink" Target="mailto:n.boutenegre@cdg1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1137</Words>
  <Characters>6254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SIGRID COLIAT</cp:lastModifiedBy>
  <cp:revision>11</cp:revision>
  <cp:lastPrinted>2021-01-29T14:51:00Z</cp:lastPrinted>
  <dcterms:created xsi:type="dcterms:W3CDTF">2024-02-27T10:24:00Z</dcterms:created>
  <dcterms:modified xsi:type="dcterms:W3CDTF">2024-03-04T07:23:00Z</dcterms:modified>
</cp:coreProperties>
</file>