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5587" w14:textId="77777777" w:rsidR="00635418" w:rsidRDefault="00635418">
      <w:pPr>
        <w:spacing w:after="0" w:line="259" w:lineRule="auto"/>
        <w:ind w:left="0" w:right="7" w:firstLine="0"/>
        <w:jc w:val="center"/>
        <w:rPr>
          <w:rFonts w:asciiTheme="minorHAnsi" w:hAnsiTheme="minorHAnsi" w:cstheme="minorHAnsi"/>
          <w:b/>
          <w:color w:val="auto"/>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635418" w:rsidRPr="00B85784" w14:paraId="570A85D5" w14:textId="77777777" w:rsidTr="00EC29CA">
        <w:trPr>
          <w:trHeight w:val="1328"/>
        </w:trPr>
        <w:tc>
          <w:tcPr>
            <w:tcW w:w="3157" w:type="dxa"/>
            <w:tcBorders>
              <w:top w:val="nil"/>
              <w:left w:val="nil"/>
              <w:bottom w:val="nil"/>
              <w:right w:val="single" w:sz="4" w:space="0" w:color="auto"/>
            </w:tcBorders>
            <w:vAlign w:val="center"/>
          </w:tcPr>
          <w:p w14:paraId="34B94B64" w14:textId="77777777" w:rsidR="00635418" w:rsidRPr="00B85784" w:rsidRDefault="00635418" w:rsidP="00EC29C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34403679" w14:textId="77777777" w:rsidR="00635418" w:rsidRPr="00635418" w:rsidRDefault="00635418" w:rsidP="00635418">
            <w:pPr>
              <w:tabs>
                <w:tab w:val="right" w:leader="dot" w:pos="5500"/>
              </w:tabs>
              <w:ind w:left="227"/>
              <w:jc w:val="right"/>
              <w:rPr>
                <w:rFonts w:ascii="Calibri" w:hAnsi="Calibri" w:cs="Calibri"/>
                <w:color w:val="auto"/>
                <w:sz w:val="21"/>
                <w:szCs w:val="21"/>
              </w:rPr>
            </w:pPr>
            <w:r w:rsidRPr="00635418">
              <w:rPr>
                <w:rFonts w:ascii="Calibri" w:hAnsi="Calibri" w:cs="Calibri"/>
                <w:b/>
                <w:bCs/>
                <w:color w:val="auto"/>
                <w:sz w:val="21"/>
                <w:szCs w:val="21"/>
              </w:rPr>
              <w:t>N°</w:t>
            </w:r>
            <w:r w:rsidRPr="00635418">
              <w:rPr>
                <w:rFonts w:ascii="Calibri" w:hAnsi="Calibri" w:cs="Calibri"/>
                <w:color w:val="auto"/>
                <w:sz w:val="21"/>
                <w:szCs w:val="21"/>
              </w:rPr>
              <w:t>……………</w:t>
            </w:r>
          </w:p>
          <w:p w14:paraId="1E7698AD" w14:textId="77777777" w:rsidR="00635418" w:rsidRPr="00635418" w:rsidRDefault="00635418" w:rsidP="00635418">
            <w:pPr>
              <w:tabs>
                <w:tab w:val="right" w:leader="dot" w:pos="5500"/>
              </w:tabs>
              <w:ind w:left="227"/>
              <w:jc w:val="right"/>
              <w:rPr>
                <w:rFonts w:ascii="Calibri" w:hAnsi="Calibri" w:cs="Calibri"/>
                <w:b/>
                <w:bCs/>
                <w:color w:val="auto"/>
                <w:sz w:val="24"/>
                <w:szCs w:val="24"/>
              </w:rPr>
            </w:pPr>
          </w:p>
          <w:p w14:paraId="557796FF" w14:textId="77777777" w:rsidR="00635418" w:rsidRDefault="00635418" w:rsidP="00635418">
            <w:pPr>
              <w:tabs>
                <w:tab w:val="right" w:leader="dot" w:pos="5500"/>
              </w:tabs>
              <w:ind w:left="227"/>
              <w:jc w:val="center"/>
              <w:rPr>
                <w:rFonts w:ascii="Calibri" w:hAnsi="Calibri" w:cs="Calibri"/>
                <w:b/>
                <w:bCs/>
                <w:color w:val="auto"/>
                <w:sz w:val="24"/>
                <w:szCs w:val="24"/>
              </w:rPr>
            </w:pPr>
            <w:r w:rsidRPr="00635418">
              <w:rPr>
                <w:rFonts w:ascii="Calibri" w:hAnsi="Calibri" w:cs="Calibri"/>
                <w:b/>
                <w:bCs/>
                <w:color w:val="auto"/>
                <w:sz w:val="24"/>
                <w:szCs w:val="24"/>
              </w:rPr>
              <w:t xml:space="preserve">Délibération </w:t>
            </w:r>
            <w:r>
              <w:rPr>
                <w:rFonts w:ascii="Calibri" w:hAnsi="Calibri" w:cs="Calibri"/>
                <w:b/>
                <w:bCs/>
                <w:color w:val="auto"/>
                <w:sz w:val="24"/>
                <w:szCs w:val="24"/>
              </w:rPr>
              <w:t xml:space="preserve">fixant les plafonds de prise en charge </w:t>
            </w:r>
          </w:p>
          <w:p w14:paraId="722D8314" w14:textId="65B114CB" w:rsidR="00635418" w:rsidRPr="00B85784" w:rsidRDefault="00635418" w:rsidP="00635418">
            <w:pPr>
              <w:tabs>
                <w:tab w:val="right" w:leader="dot" w:pos="5500"/>
              </w:tabs>
              <w:ind w:left="227"/>
              <w:jc w:val="center"/>
              <w:rPr>
                <w:rFonts w:ascii="Calibri" w:hAnsi="Calibri" w:cs="Calibri"/>
                <w:sz w:val="21"/>
                <w:szCs w:val="21"/>
              </w:rPr>
            </w:pPr>
            <w:proofErr w:type="gramStart"/>
            <w:r>
              <w:rPr>
                <w:rFonts w:ascii="Calibri" w:hAnsi="Calibri" w:cs="Calibri"/>
                <w:b/>
                <w:bCs/>
                <w:color w:val="auto"/>
                <w:sz w:val="24"/>
                <w:szCs w:val="24"/>
              </w:rPr>
              <w:t>du</w:t>
            </w:r>
            <w:proofErr w:type="gramEnd"/>
            <w:r>
              <w:rPr>
                <w:rFonts w:ascii="Calibri" w:hAnsi="Calibri" w:cs="Calibri"/>
                <w:b/>
                <w:bCs/>
                <w:color w:val="auto"/>
                <w:sz w:val="24"/>
                <w:szCs w:val="24"/>
              </w:rPr>
              <w:t xml:space="preserve"> CPF</w:t>
            </w:r>
          </w:p>
        </w:tc>
      </w:tr>
    </w:tbl>
    <w:p w14:paraId="7F5987AE" w14:textId="4B77B441" w:rsidR="00CF7707" w:rsidRDefault="00CF7707">
      <w:pPr>
        <w:spacing w:after="14" w:line="259" w:lineRule="auto"/>
        <w:ind w:left="0" w:firstLine="0"/>
        <w:jc w:val="left"/>
        <w:rPr>
          <w:rFonts w:asciiTheme="minorHAnsi" w:hAnsiTheme="minorHAnsi" w:cstheme="minorHAnsi"/>
          <w:b/>
          <w:color w:val="auto"/>
          <w:sz w:val="21"/>
          <w:szCs w:val="21"/>
        </w:rPr>
      </w:pPr>
    </w:p>
    <w:p w14:paraId="61695C13" w14:textId="77777777" w:rsidR="00635418" w:rsidRPr="00635418" w:rsidRDefault="00635418">
      <w:pPr>
        <w:spacing w:after="14" w:line="259" w:lineRule="auto"/>
        <w:ind w:left="0" w:firstLine="0"/>
        <w:jc w:val="left"/>
        <w:rPr>
          <w:rFonts w:asciiTheme="minorHAnsi" w:hAnsiTheme="minorHAnsi" w:cstheme="minorHAnsi"/>
          <w:color w:val="auto"/>
          <w:sz w:val="21"/>
          <w:szCs w:val="21"/>
        </w:rPr>
      </w:pPr>
    </w:p>
    <w:p w14:paraId="28B708FC" w14:textId="77777777" w:rsidR="00CF7707" w:rsidRPr="00635418" w:rsidRDefault="00366CF9">
      <w:pPr>
        <w:ind w:left="-5"/>
        <w:jc w:val="left"/>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L’autorité territoriale expose : </w:t>
      </w:r>
    </w:p>
    <w:p w14:paraId="10E07F3F" w14:textId="4A4AF190" w:rsidR="00CF7707" w:rsidRPr="00635418" w:rsidRDefault="00CF7707">
      <w:pPr>
        <w:spacing w:after="0" w:line="259" w:lineRule="auto"/>
        <w:ind w:left="0" w:firstLine="0"/>
        <w:jc w:val="left"/>
        <w:rPr>
          <w:rFonts w:asciiTheme="minorHAnsi" w:hAnsiTheme="minorHAnsi" w:cstheme="minorHAnsi"/>
          <w:color w:val="auto"/>
          <w:sz w:val="21"/>
          <w:szCs w:val="21"/>
        </w:rPr>
      </w:pPr>
    </w:p>
    <w:p w14:paraId="43A70D6A" w14:textId="30C78A3A" w:rsidR="00CF7707" w:rsidRDefault="00366CF9" w:rsidP="00CB26C6">
      <w:pPr>
        <w:ind w:left="-5"/>
        <w:jc w:val="left"/>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Vu </w:t>
      </w:r>
      <w:r w:rsidR="00CB26C6" w:rsidRPr="00635418">
        <w:rPr>
          <w:rFonts w:asciiTheme="minorHAnsi" w:hAnsiTheme="minorHAnsi" w:cstheme="minorHAnsi"/>
          <w:color w:val="auto"/>
          <w:sz w:val="21"/>
          <w:szCs w:val="21"/>
        </w:rPr>
        <w:t>le Code Général de la Fonction Publique, et notamment ses article L.115-4 et L.421-1 à L. 424-1 ;</w:t>
      </w:r>
    </w:p>
    <w:p w14:paraId="2F7D9336" w14:textId="77777777" w:rsidR="00635418" w:rsidRPr="00635418" w:rsidRDefault="00635418" w:rsidP="00CB26C6">
      <w:pPr>
        <w:ind w:left="-5"/>
        <w:jc w:val="left"/>
        <w:rPr>
          <w:rFonts w:asciiTheme="minorHAnsi" w:hAnsiTheme="minorHAnsi" w:cstheme="minorHAnsi"/>
          <w:color w:val="auto"/>
          <w:sz w:val="21"/>
          <w:szCs w:val="21"/>
        </w:rPr>
      </w:pPr>
    </w:p>
    <w:p w14:paraId="6BC8F576" w14:textId="77777777" w:rsidR="00CB26C6" w:rsidRDefault="00366CF9">
      <w:pPr>
        <w:ind w:left="-5" w:right="5"/>
        <w:rPr>
          <w:rFonts w:asciiTheme="minorHAnsi" w:hAnsiTheme="minorHAnsi" w:cstheme="minorHAnsi"/>
          <w:color w:val="auto"/>
          <w:sz w:val="21"/>
          <w:szCs w:val="21"/>
        </w:rPr>
      </w:pPr>
      <w:r w:rsidRPr="00635418">
        <w:rPr>
          <w:rFonts w:asciiTheme="minorHAnsi" w:hAnsiTheme="minorHAnsi" w:cstheme="minorHAnsi"/>
          <w:color w:val="auto"/>
          <w:sz w:val="21"/>
          <w:szCs w:val="21"/>
        </w:rPr>
        <w:t>Vu le décret n° 2017-928 du 6 mai 2017 modifié relatif à la mise en œuvre du compte personnel d'activité dans la fonction publique et à la formation professionnelle tout au long de la vie, notamment son article 9 ;</w:t>
      </w:r>
    </w:p>
    <w:p w14:paraId="36B9B38B" w14:textId="77777777" w:rsidR="00635418" w:rsidRPr="00635418" w:rsidRDefault="00635418">
      <w:pPr>
        <w:ind w:left="-5" w:right="5"/>
        <w:rPr>
          <w:rFonts w:asciiTheme="minorHAnsi" w:hAnsiTheme="minorHAnsi" w:cstheme="minorHAnsi"/>
          <w:color w:val="auto"/>
          <w:sz w:val="21"/>
          <w:szCs w:val="21"/>
        </w:rPr>
      </w:pPr>
    </w:p>
    <w:p w14:paraId="7ABA7711" w14:textId="12698993" w:rsidR="00CF7707" w:rsidRPr="00635418" w:rsidRDefault="00366CF9">
      <w:pPr>
        <w:ind w:left="-5" w:right="5"/>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Vu l’avis du </w:t>
      </w:r>
      <w:r w:rsidR="00CB26C6" w:rsidRPr="00635418">
        <w:rPr>
          <w:rFonts w:asciiTheme="minorHAnsi" w:hAnsiTheme="minorHAnsi" w:cstheme="minorHAnsi"/>
          <w:color w:val="auto"/>
          <w:sz w:val="21"/>
          <w:szCs w:val="21"/>
        </w:rPr>
        <w:t>comité social territorial</w:t>
      </w:r>
      <w:r w:rsidRPr="00635418">
        <w:rPr>
          <w:rFonts w:asciiTheme="minorHAnsi" w:hAnsiTheme="minorHAnsi" w:cstheme="minorHAnsi"/>
          <w:color w:val="auto"/>
          <w:sz w:val="21"/>
          <w:szCs w:val="21"/>
        </w:rPr>
        <w:t xml:space="preserve"> en date du …………, </w:t>
      </w:r>
    </w:p>
    <w:p w14:paraId="5E76C607" w14:textId="75CF8C03" w:rsidR="00CF7707" w:rsidRPr="00635418" w:rsidRDefault="00CF7707">
      <w:pPr>
        <w:spacing w:after="9" w:line="259" w:lineRule="auto"/>
        <w:ind w:left="0" w:firstLine="0"/>
        <w:jc w:val="left"/>
        <w:rPr>
          <w:rFonts w:asciiTheme="minorHAnsi" w:hAnsiTheme="minorHAnsi" w:cstheme="minorHAnsi"/>
          <w:color w:val="auto"/>
          <w:sz w:val="21"/>
          <w:szCs w:val="21"/>
        </w:rPr>
      </w:pPr>
    </w:p>
    <w:p w14:paraId="0D97E851" w14:textId="5C7E9B16" w:rsidR="00CF7707" w:rsidRPr="00635418" w:rsidRDefault="00366CF9">
      <w:pPr>
        <w:ind w:left="-5"/>
        <w:rPr>
          <w:rFonts w:asciiTheme="minorHAnsi" w:hAnsiTheme="minorHAnsi" w:cstheme="minorHAnsi"/>
          <w:color w:val="auto"/>
          <w:sz w:val="21"/>
          <w:szCs w:val="21"/>
        </w:rPr>
      </w:pPr>
      <w:r w:rsidRPr="00635418">
        <w:rPr>
          <w:rFonts w:asciiTheme="minorHAnsi" w:hAnsiTheme="minorHAnsi" w:cstheme="minorHAnsi"/>
          <w:i/>
          <w:color w:val="auto"/>
          <w:sz w:val="21"/>
          <w:szCs w:val="21"/>
        </w:rPr>
        <w:t>Le Maire/ le Président</w:t>
      </w:r>
      <w:r w:rsidRPr="00635418">
        <w:rPr>
          <w:rFonts w:asciiTheme="minorHAnsi" w:hAnsiTheme="minorHAnsi" w:cstheme="minorHAnsi"/>
          <w:color w:val="auto"/>
          <w:sz w:val="21"/>
          <w:szCs w:val="21"/>
        </w:rPr>
        <w:t xml:space="preserve"> rappelle aux membres de l’assemblée, qu’en application de l’article 44 de la loi n°20161088 du 8 août 2016 relative au travail, à la modernisation du dialogue social et à la sécurisation des parcours professionnels, l’ordonnance n°2017-53 du 19 janvier 2017 a introduit de nouvelles dispositions dans la loi n°83-634 du 13 juillet 1983 en matière de formation professionnelle</w:t>
      </w:r>
      <w:r w:rsidR="00CB26C6" w:rsidRPr="00635418">
        <w:rPr>
          <w:rFonts w:asciiTheme="minorHAnsi" w:hAnsiTheme="minorHAnsi" w:cstheme="minorHAnsi"/>
          <w:color w:val="auto"/>
          <w:sz w:val="21"/>
          <w:szCs w:val="21"/>
        </w:rPr>
        <w:t>, reprises dans le Code Général de la Fonction Publique.</w:t>
      </w:r>
    </w:p>
    <w:p w14:paraId="17B822E0" w14:textId="363B5776" w:rsidR="00CF7707" w:rsidRPr="00635418" w:rsidRDefault="00CF7707">
      <w:pPr>
        <w:spacing w:after="0" w:line="259" w:lineRule="auto"/>
        <w:ind w:left="0" w:firstLine="0"/>
        <w:jc w:val="left"/>
        <w:rPr>
          <w:rFonts w:asciiTheme="minorHAnsi" w:hAnsiTheme="minorHAnsi" w:cstheme="minorHAnsi"/>
          <w:color w:val="auto"/>
          <w:sz w:val="21"/>
          <w:szCs w:val="21"/>
        </w:rPr>
      </w:pPr>
    </w:p>
    <w:p w14:paraId="0E1EAEBD" w14:textId="77777777" w:rsidR="00CF7707" w:rsidRPr="00635418" w:rsidRDefault="00366CF9">
      <w:pPr>
        <w:ind w:left="-5"/>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L’article 22 ter de la loi précitée crée, à l’instar du dispositif existant pour les salariés de droit privé, un compte personnel d'activité (CPA) au bénéfice des agents publics.  </w:t>
      </w:r>
    </w:p>
    <w:p w14:paraId="4A224773" w14:textId="1D9713D3" w:rsidR="00CF7707" w:rsidRPr="00635418" w:rsidRDefault="00CF7707">
      <w:pPr>
        <w:spacing w:after="0" w:line="259" w:lineRule="auto"/>
        <w:ind w:left="0" w:firstLine="0"/>
        <w:jc w:val="left"/>
        <w:rPr>
          <w:rFonts w:asciiTheme="minorHAnsi" w:hAnsiTheme="minorHAnsi" w:cstheme="minorHAnsi"/>
          <w:color w:val="auto"/>
          <w:sz w:val="21"/>
          <w:szCs w:val="21"/>
        </w:rPr>
      </w:pPr>
    </w:p>
    <w:p w14:paraId="05D792E9" w14:textId="77777777" w:rsidR="00635418" w:rsidRDefault="00366CF9">
      <w:pPr>
        <w:spacing w:after="30"/>
        <w:ind w:left="-5" w:right="3513"/>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Le compte personnel d'activité se compose de deux comptes distincts : </w:t>
      </w:r>
    </w:p>
    <w:p w14:paraId="201BE8DC" w14:textId="07F0A8A6" w:rsidR="00CF7707" w:rsidRPr="00635418" w:rsidRDefault="00366CF9" w:rsidP="00635418">
      <w:pPr>
        <w:pStyle w:val="Paragraphedeliste"/>
        <w:numPr>
          <w:ilvl w:val="0"/>
          <w:numId w:val="4"/>
        </w:numPr>
        <w:tabs>
          <w:tab w:val="left" w:pos="990"/>
        </w:tabs>
        <w:ind w:right="140"/>
        <w:jc w:val="both"/>
        <w:rPr>
          <w:rFonts w:asciiTheme="minorHAnsi" w:hAnsiTheme="minorHAnsi" w:cstheme="minorHAnsi"/>
          <w:sz w:val="21"/>
          <w:szCs w:val="21"/>
        </w:rPr>
      </w:pPr>
      <w:proofErr w:type="gramStart"/>
      <w:r w:rsidRPr="00635418">
        <w:rPr>
          <w:rFonts w:asciiTheme="minorHAnsi" w:hAnsiTheme="minorHAnsi" w:cstheme="minorHAnsi"/>
          <w:sz w:val="21"/>
          <w:szCs w:val="21"/>
        </w:rPr>
        <w:t>le</w:t>
      </w:r>
      <w:proofErr w:type="gramEnd"/>
      <w:r w:rsidRPr="00635418">
        <w:rPr>
          <w:rFonts w:asciiTheme="minorHAnsi" w:hAnsiTheme="minorHAnsi" w:cstheme="minorHAnsi"/>
          <w:sz w:val="21"/>
          <w:szCs w:val="21"/>
        </w:rPr>
        <w:t xml:space="preserve"> compte personnel de formation (CPF) ;</w:t>
      </w:r>
    </w:p>
    <w:p w14:paraId="69C110D8" w14:textId="0ED9A0B6" w:rsidR="00CF7707" w:rsidRPr="00635418" w:rsidRDefault="00366CF9" w:rsidP="00635418">
      <w:pPr>
        <w:pStyle w:val="Paragraphedeliste"/>
        <w:numPr>
          <w:ilvl w:val="0"/>
          <w:numId w:val="4"/>
        </w:numPr>
        <w:tabs>
          <w:tab w:val="left" w:pos="990"/>
        </w:tabs>
        <w:ind w:right="140"/>
        <w:jc w:val="both"/>
        <w:rPr>
          <w:rFonts w:asciiTheme="minorHAnsi" w:hAnsiTheme="minorHAnsi" w:cstheme="minorHAnsi"/>
          <w:sz w:val="21"/>
          <w:szCs w:val="21"/>
        </w:rPr>
      </w:pPr>
      <w:proofErr w:type="gramStart"/>
      <w:r w:rsidRPr="00635418">
        <w:rPr>
          <w:rFonts w:asciiTheme="minorHAnsi" w:hAnsiTheme="minorHAnsi" w:cstheme="minorHAnsi"/>
          <w:sz w:val="21"/>
          <w:szCs w:val="21"/>
        </w:rPr>
        <w:t>le</w:t>
      </w:r>
      <w:proofErr w:type="gramEnd"/>
      <w:r w:rsidRPr="00635418">
        <w:rPr>
          <w:rFonts w:asciiTheme="minorHAnsi" w:hAnsiTheme="minorHAnsi" w:cstheme="minorHAnsi"/>
          <w:sz w:val="21"/>
          <w:szCs w:val="21"/>
        </w:rPr>
        <w:t xml:space="preserve"> compte d’engagement citoyen (CEC).</w:t>
      </w:r>
    </w:p>
    <w:p w14:paraId="2EB00EE7" w14:textId="395E7699" w:rsidR="00CF7707" w:rsidRPr="00635418" w:rsidRDefault="00CF7707">
      <w:pPr>
        <w:spacing w:after="0" w:line="259" w:lineRule="auto"/>
        <w:ind w:left="0" w:firstLine="0"/>
        <w:jc w:val="left"/>
        <w:rPr>
          <w:rFonts w:asciiTheme="minorHAnsi" w:hAnsiTheme="minorHAnsi" w:cstheme="minorHAnsi"/>
          <w:color w:val="auto"/>
          <w:sz w:val="21"/>
          <w:szCs w:val="21"/>
        </w:rPr>
      </w:pPr>
    </w:p>
    <w:p w14:paraId="333884FE" w14:textId="77777777" w:rsidR="00CF7707" w:rsidRPr="00635418" w:rsidRDefault="00366CF9">
      <w:pPr>
        <w:spacing w:after="26"/>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Le CPA a pour objectifs, par l’utilisation des droits qui y sont inscrits, de renforcer l’autonomie et la liberté d’action de l’agent et de faciliter son évolution professionnelle.  </w:t>
      </w:r>
    </w:p>
    <w:p w14:paraId="1A52CC48" w14:textId="77F892B0" w:rsidR="00CF7707" w:rsidRPr="00635418" w:rsidRDefault="00CF7707">
      <w:pPr>
        <w:spacing w:after="0" w:line="259" w:lineRule="auto"/>
        <w:ind w:left="0" w:firstLine="0"/>
        <w:jc w:val="left"/>
        <w:rPr>
          <w:rFonts w:asciiTheme="minorHAnsi" w:hAnsiTheme="minorHAnsi" w:cstheme="minorHAnsi"/>
          <w:color w:val="auto"/>
          <w:sz w:val="21"/>
          <w:szCs w:val="21"/>
        </w:rPr>
      </w:pPr>
    </w:p>
    <w:p w14:paraId="7573AEFC"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Ce dispositif bénéficie à l’ensemble des agents publics, c’est à dire aux fonctionnaires et aux agents contractuels, qu’ils soient recrutés sur des emplois permanents ou non, à temps complet ou non complet, ainsi qu’aux agents momentanément privés d’emploi, sous réserve de la prise en charge des allocations de retour à l’emploi par la </w:t>
      </w:r>
      <w:r w:rsidRPr="00635418">
        <w:rPr>
          <w:rFonts w:asciiTheme="minorHAnsi" w:hAnsiTheme="minorHAnsi" w:cstheme="minorHAnsi"/>
          <w:i/>
          <w:color w:val="auto"/>
          <w:sz w:val="21"/>
          <w:szCs w:val="21"/>
        </w:rPr>
        <w:t>collectivité/l’établissement</w:t>
      </w:r>
      <w:r w:rsidRPr="00635418">
        <w:rPr>
          <w:rFonts w:asciiTheme="minorHAnsi" w:hAnsiTheme="minorHAnsi" w:cstheme="minorHAnsi"/>
          <w:color w:val="auto"/>
          <w:sz w:val="21"/>
          <w:szCs w:val="21"/>
        </w:rPr>
        <w:t xml:space="preserve">, ou sous réserve, pour l’agent en disponibilité, d’une demande de réintégration.  </w:t>
      </w:r>
    </w:p>
    <w:p w14:paraId="720CE8AA" w14:textId="1620523E" w:rsidR="00CF7707" w:rsidRPr="00635418" w:rsidRDefault="00CF7707">
      <w:pPr>
        <w:spacing w:after="0" w:line="259" w:lineRule="auto"/>
        <w:ind w:left="0" w:firstLine="0"/>
        <w:jc w:val="left"/>
        <w:rPr>
          <w:rFonts w:asciiTheme="minorHAnsi" w:hAnsiTheme="minorHAnsi" w:cstheme="minorHAnsi"/>
          <w:color w:val="auto"/>
          <w:sz w:val="21"/>
          <w:szCs w:val="21"/>
        </w:rPr>
      </w:pPr>
    </w:p>
    <w:p w14:paraId="7446A9FB"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Le compte personnel de formation mis en œuvre dans ce cadre se substitue au droit individuel à la formation (DIF). Il permet aux agents publics d’acquérir des droits à la formation, au regard du travail accompli, dans la limite de 150 heures, portés à 400 heures pour les agents qui appartient à un cadre d’emplois de catégorie C et qui n'ont pas atteint un niveau de formation sanctionné par un diplôme ou titre professionnel enregistré et classé au niveau 3 (niveau BEP ou CAP) du répertoire national des certifications professionnelles.  </w:t>
      </w:r>
    </w:p>
    <w:p w14:paraId="55F3F57F" w14:textId="70FFC201" w:rsidR="00CF7707" w:rsidRPr="00635418" w:rsidRDefault="00CF7707">
      <w:pPr>
        <w:spacing w:after="0" w:line="259" w:lineRule="auto"/>
        <w:ind w:left="0" w:firstLine="0"/>
        <w:jc w:val="left"/>
        <w:rPr>
          <w:rFonts w:asciiTheme="minorHAnsi" w:hAnsiTheme="minorHAnsi" w:cstheme="minorHAnsi"/>
          <w:color w:val="auto"/>
          <w:sz w:val="21"/>
          <w:szCs w:val="21"/>
        </w:rPr>
      </w:pPr>
    </w:p>
    <w:p w14:paraId="0B1DF7F6"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Les agents publics peuvent accéder à toute action de formation, hormis celles relatives à l’adaptation aux fonctions exercées, ayant pour objet l’acquisition d’un diplôme, d’un titre, d’un certificat de qualification professionnelle (en particulier s’inscrivant dans un dispositif de certification professionnelle « </w:t>
      </w:r>
      <w:proofErr w:type="spellStart"/>
      <w:r w:rsidRPr="00635418">
        <w:rPr>
          <w:rFonts w:asciiTheme="minorHAnsi" w:hAnsiTheme="minorHAnsi" w:cstheme="minorHAnsi"/>
          <w:color w:val="auto"/>
          <w:sz w:val="21"/>
          <w:szCs w:val="21"/>
        </w:rPr>
        <w:t>CléA</w:t>
      </w:r>
      <w:proofErr w:type="spellEnd"/>
      <w:r w:rsidRPr="00635418">
        <w:rPr>
          <w:rFonts w:asciiTheme="minorHAnsi" w:hAnsiTheme="minorHAnsi" w:cstheme="minorHAnsi"/>
          <w:color w:val="auto"/>
          <w:sz w:val="21"/>
          <w:szCs w:val="21"/>
        </w:rPr>
        <w:t xml:space="preserve"> »</w:t>
      </w:r>
      <w:r w:rsidRPr="00635418">
        <w:rPr>
          <w:rFonts w:asciiTheme="minorHAnsi" w:hAnsiTheme="minorHAnsi" w:cstheme="minorHAnsi"/>
          <w:i/>
          <w:color w:val="auto"/>
          <w:sz w:val="21"/>
          <w:szCs w:val="21"/>
        </w:rPr>
        <w:t xml:space="preserve">) </w:t>
      </w:r>
      <w:r w:rsidRPr="00635418">
        <w:rPr>
          <w:rFonts w:asciiTheme="minorHAnsi" w:hAnsiTheme="minorHAnsi" w:cstheme="minorHAnsi"/>
          <w:color w:val="auto"/>
          <w:sz w:val="21"/>
          <w:szCs w:val="21"/>
        </w:rPr>
        <w:t xml:space="preserve">ou le développement des compétences nécessaires à la mise en œuvre de son </w:t>
      </w:r>
      <w:r w:rsidRPr="00635418">
        <w:rPr>
          <w:rFonts w:asciiTheme="minorHAnsi" w:hAnsiTheme="minorHAnsi" w:cstheme="minorHAnsi"/>
          <w:b/>
          <w:color w:val="auto"/>
          <w:sz w:val="21"/>
          <w:szCs w:val="21"/>
        </w:rPr>
        <w:t>projet d’évolution professionnelle</w:t>
      </w:r>
      <w:r w:rsidRPr="00635418">
        <w:rPr>
          <w:rFonts w:asciiTheme="minorHAnsi" w:hAnsiTheme="minorHAnsi" w:cstheme="minorHAnsi"/>
          <w:color w:val="auto"/>
          <w:sz w:val="21"/>
          <w:szCs w:val="21"/>
        </w:rPr>
        <w:t xml:space="preserve">.  </w:t>
      </w:r>
    </w:p>
    <w:p w14:paraId="17BE3E49" w14:textId="274F7DC6" w:rsidR="00635418" w:rsidRDefault="00635418">
      <w:pPr>
        <w:spacing w:after="160" w:line="259" w:lineRule="auto"/>
        <w:ind w:left="0" w:firstLine="0"/>
        <w:jc w:val="left"/>
        <w:rPr>
          <w:rFonts w:asciiTheme="minorHAnsi" w:hAnsiTheme="minorHAnsi" w:cstheme="minorHAnsi"/>
          <w:color w:val="auto"/>
          <w:sz w:val="21"/>
          <w:szCs w:val="21"/>
        </w:rPr>
      </w:pPr>
      <w:r>
        <w:rPr>
          <w:rFonts w:asciiTheme="minorHAnsi" w:hAnsiTheme="minorHAnsi" w:cstheme="minorHAnsi"/>
          <w:color w:val="auto"/>
          <w:sz w:val="21"/>
          <w:szCs w:val="21"/>
        </w:rPr>
        <w:br w:type="page"/>
      </w:r>
    </w:p>
    <w:p w14:paraId="2F98D31F" w14:textId="77777777" w:rsidR="00CF7707" w:rsidRPr="00635418" w:rsidRDefault="00CF7707">
      <w:pPr>
        <w:spacing w:after="0" w:line="259" w:lineRule="auto"/>
        <w:ind w:left="0" w:firstLine="0"/>
        <w:jc w:val="left"/>
        <w:rPr>
          <w:rFonts w:asciiTheme="minorHAnsi" w:hAnsiTheme="minorHAnsi" w:cstheme="minorHAnsi"/>
          <w:color w:val="auto"/>
          <w:sz w:val="21"/>
          <w:szCs w:val="21"/>
        </w:rPr>
      </w:pPr>
    </w:p>
    <w:p w14:paraId="7868268C"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Peut être considérée comme répondant à un projet d’évolution professionnelle, toute action de formation qui vise à :  </w:t>
      </w:r>
    </w:p>
    <w:p w14:paraId="4E9BB342" w14:textId="77777777" w:rsidR="00CF7707" w:rsidRPr="00635418" w:rsidRDefault="00366CF9" w:rsidP="00635418">
      <w:pPr>
        <w:numPr>
          <w:ilvl w:val="0"/>
          <w:numId w:val="1"/>
        </w:numPr>
        <w:ind w:left="1276" w:right="130"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accéder</w:t>
      </w:r>
      <w:proofErr w:type="gramEnd"/>
      <w:r w:rsidRPr="00635418">
        <w:rPr>
          <w:rFonts w:asciiTheme="minorHAnsi" w:hAnsiTheme="minorHAnsi" w:cstheme="minorHAnsi"/>
          <w:color w:val="auto"/>
          <w:sz w:val="21"/>
          <w:szCs w:val="21"/>
        </w:rPr>
        <w:t xml:space="preserve"> à de nouvelles responsabilités, par exemple exercer des fonctions managériales </w:t>
      </w:r>
      <w:r w:rsidRPr="00635418">
        <w:rPr>
          <w:rFonts w:asciiTheme="minorHAnsi" w:hAnsiTheme="minorHAnsi" w:cstheme="minorHAnsi"/>
          <w:i/>
          <w:color w:val="auto"/>
          <w:sz w:val="21"/>
          <w:szCs w:val="21"/>
        </w:rPr>
        <w:t xml:space="preserve">(formation au management, etc.) </w:t>
      </w:r>
      <w:r w:rsidRPr="00635418">
        <w:rPr>
          <w:rFonts w:asciiTheme="minorHAnsi" w:hAnsiTheme="minorHAnsi" w:cstheme="minorHAnsi"/>
          <w:color w:val="auto"/>
          <w:sz w:val="21"/>
          <w:szCs w:val="21"/>
        </w:rPr>
        <w:t xml:space="preserve">ou encore pour changer de cadre d’emplois ou de grade </w:t>
      </w:r>
      <w:r w:rsidRPr="00635418">
        <w:rPr>
          <w:rFonts w:asciiTheme="minorHAnsi" w:hAnsiTheme="minorHAnsi" w:cstheme="minorHAnsi"/>
          <w:i/>
          <w:color w:val="auto"/>
          <w:sz w:val="21"/>
          <w:szCs w:val="21"/>
        </w:rPr>
        <w:t xml:space="preserve">(préparation aux concours et examens, etc.) </w:t>
      </w:r>
      <w:r w:rsidRPr="00635418">
        <w:rPr>
          <w:rFonts w:asciiTheme="minorHAnsi" w:hAnsiTheme="minorHAnsi" w:cstheme="minorHAnsi"/>
          <w:color w:val="auto"/>
          <w:sz w:val="21"/>
          <w:szCs w:val="21"/>
        </w:rPr>
        <w:t xml:space="preserve">;  </w:t>
      </w:r>
    </w:p>
    <w:p w14:paraId="4638C21E" w14:textId="77777777" w:rsidR="00CF7707" w:rsidRPr="00635418" w:rsidRDefault="00366CF9" w:rsidP="00635418">
      <w:pPr>
        <w:numPr>
          <w:ilvl w:val="0"/>
          <w:numId w:val="1"/>
        </w:numPr>
        <w:spacing w:after="23" w:line="275" w:lineRule="auto"/>
        <w:ind w:left="1276" w:right="130"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effectuer</w:t>
      </w:r>
      <w:proofErr w:type="gramEnd"/>
      <w:r w:rsidRPr="00635418">
        <w:rPr>
          <w:rFonts w:asciiTheme="minorHAnsi" w:hAnsiTheme="minorHAnsi" w:cstheme="minorHAnsi"/>
          <w:color w:val="auto"/>
          <w:sz w:val="21"/>
          <w:szCs w:val="21"/>
        </w:rPr>
        <w:t xml:space="preserve"> une mobilité professionnelle </w:t>
      </w:r>
      <w:r w:rsidRPr="00635418">
        <w:rPr>
          <w:rFonts w:asciiTheme="minorHAnsi" w:hAnsiTheme="minorHAnsi" w:cstheme="minorHAnsi"/>
          <w:i/>
          <w:color w:val="auto"/>
          <w:sz w:val="21"/>
          <w:szCs w:val="21"/>
        </w:rPr>
        <w:t xml:space="preserve">(et le cas échéant géographique), </w:t>
      </w:r>
      <w:r w:rsidRPr="00635418">
        <w:rPr>
          <w:rFonts w:asciiTheme="minorHAnsi" w:hAnsiTheme="minorHAnsi" w:cstheme="minorHAnsi"/>
          <w:color w:val="auto"/>
          <w:sz w:val="21"/>
          <w:szCs w:val="21"/>
        </w:rPr>
        <w:t xml:space="preserve">par exemple pour changer de domaine de compétences </w:t>
      </w:r>
      <w:r w:rsidRPr="00635418">
        <w:rPr>
          <w:rFonts w:asciiTheme="minorHAnsi" w:hAnsiTheme="minorHAnsi" w:cstheme="minorHAnsi"/>
          <w:i/>
          <w:color w:val="auto"/>
          <w:sz w:val="21"/>
          <w:szCs w:val="21"/>
        </w:rPr>
        <w:t xml:space="preserve">(un agent occupe un poste à dominante juridique et souhaite s’orienter vers un poste budgétaire et demande à bénéficier d’une formation en ce sens préalablement au moment de postuler, etc.). </w:t>
      </w:r>
      <w:r w:rsidRPr="00635418">
        <w:rPr>
          <w:rFonts w:asciiTheme="minorHAnsi" w:hAnsiTheme="minorHAnsi" w:cstheme="minorHAnsi"/>
          <w:color w:val="auto"/>
          <w:sz w:val="21"/>
          <w:szCs w:val="21"/>
        </w:rPr>
        <w:t xml:space="preserve">;  </w:t>
      </w:r>
    </w:p>
    <w:p w14:paraId="4CBD7DE8" w14:textId="7AC9BE2B" w:rsidR="00CF7707" w:rsidRPr="00635418" w:rsidRDefault="00366CF9" w:rsidP="00635418">
      <w:pPr>
        <w:numPr>
          <w:ilvl w:val="0"/>
          <w:numId w:val="1"/>
        </w:numPr>
        <w:ind w:left="1276" w:right="130"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s’inscrire</w:t>
      </w:r>
      <w:proofErr w:type="gramEnd"/>
      <w:r w:rsidRPr="00635418">
        <w:rPr>
          <w:rFonts w:asciiTheme="minorHAnsi" w:hAnsiTheme="minorHAnsi" w:cstheme="minorHAnsi"/>
          <w:color w:val="auto"/>
          <w:sz w:val="21"/>
          <w:szCs w:val="21"/>
        </w:rPr>
        <w:t xml:space="preserve"> dans une démarche de reconversion professionnelle, y compris dans le secteur privé, par exemple pour la création ou la reprise d’entreprise, etc. Le DIF ne pouvait pas être utilisé à cette fin.  </w:t>
      </w:r>
    </w:p>
    <w:p w14:paraId="1C941463" w14:textId="44762607" w:rsidR="00CF7707" w:rsidRPr="00635418" w:rsidRDefault="00CF7707">
      <w:pPr>
        <w:spacing w:after="0" w:line="259" w:lineRule="auto"/>
        <w:ind w:left="0" w:firstLine="0"/>
        <w:jc w:val="left"/>
        <w:rPr>
          <w:rFonts w:asciiTheme="minorHAnsi" w:hAnsiTheme="minorHAnsi" w:cstheme="minorHAnsi"/>
          <w:color w:val="auto"/>
          <w:sz w:val="21"/>
          <w:szCs w:val="21"/>
        </w:rPr>
      </w:pPr>
    </w:p>
    <w:p w14:paraId="77DECB0A" w14:textId="77777777" w:rsidR="00CF7707" w:rsidRPr="00635418" w:rsidRDefault="00366CF9">
      <w:pPr>
        <w:spacing w:after="28"/>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Les agents peuvent donc solliciter leur CPF pour :  </w:t>
      </w:r>
    </w:p>
    <w:p w14:paraId="39203DDD" w14:textId="31876787" w:rsidR="00CF7707" w:rsidRPr="00635418" w:rsidRDefault="00366CF9" w:rsidP="00635418">
      <w:pPr>
        <w:pStyle w:val="Paragraphedeliste"/>
        <w:numPr>
          <w:ilvl w:val="0"/>
          <w:numId w:val="4"/>
        </w:numPr>
        <w:tabs>
          <w:tab w:val="left" w:pos="990"/>
        </w:tabs>
        <w:ind w:right="140"/>
        <w:jc w:val="both"/>
        <w:rPr>
          <w:rFonts w:asciiTheme="minorHAnsi" w:hAnsiTheme="minorHAnsi" w:cstheme="minorHAnsi"/>
          <w:sz w:val="21"/>
          <w:szCs w:val="21"/>
        </w:rPr>
      </w:pPr>
      <w:proofErr w:type="gramStart"/>
      <w:r w:rsidRPr="00635418">
        <w:rPr>
          <w:rFonts w:asciiTheme="minorHAnsi" w:hAnsiTheme="minorHAnsi" w:cstheme="minorHAnsi"/>
          <w:sz w:val="21"/>
          <w:szCs w:val="21"/>
        </w:rPr>
        <w:t>le</w:t>
      </w:r>
      <w:proofErr w:type="gramEnd"/>
      <w:r w:rsidRPr="00635418">
        <w:rPr>
          <w:rFonts w:asciiTheme="minorHAnsi" w:hAnsiTheme="minorHAnsi" w:cstheme="minorHAnsi"/>
          <w:sz w:val="21"/>
          <w:szCs w:val="21"/>
        </w:rPr>
        <w:t xml:space="preserve"> suivi d’une action de formation visant à l’obtention d’un diplôme, d’un titre ou d’une certification répertoriée sur le répertoire national des certifications professionnelles (RNCP) ou à l’inventaire mentionné à l’article L 335-6 du code de l’éducation nationale ;</w:t>
      </w:r>
    </w:p>
    <w:p w14:paraId="43757EA2" w14:textId="77777777" w:rsidR="00635418" w:rsidRDefault="00366CF9" w:rsidP="00635418">
      <w:pPr>
        <w:pStyle w:val="Paragraphedeliste"/>
        <w:numPr>
          <w:ilvl w:val="0"/>
          <w:numId w:val="4"/>
        </w:numPr>
        <w:tabs>
          <w:tab w:val="left" w:pos="990"/>
        </w:tabs>
        <w:ind w:right="140"/>
        <w:jc w:val="both"/>
        <w:rPr>
          <w:rFonts w:asciiTheme="minorHAnsi" w:hAnsiTheme="minorHAnsi" w:cstheme="minorHAnsi"/>
          <w:sz w:val="21"/>
          <w:szCs w:val="21"/>
        </w:rPr>
      </w:pPr>
      <w:proofErr w:type="gramStart"/>
      <w:r w:rsidRPr="00635418">
        <w:rPr>
          <w:rFonts w:asciiTheme="minorHAnsi" w:hAnsiTheme="minorHAnsi" w:cstheme="minorHAnsi"/>
          <w:sz w:val="21"/>
          <w:szCs w:val="21"/>
        </w:rPr>
        <w:t>le</w:t>
      </w:r>
      <w:proofErr w:type="gramEnd"/>
      <w:r w:rsidRPr="00635418">
        <w:rPr>
          <w:rFonts w:asciiTheme="minorHAnsi" w:hAnsiTheme="minorHAnsi" w:cstheme="minorHAnsi"/>
          <w:sz w:val="21"/>
          <w:szCs w:val="21"/>
        </w:rPr>
        <w:t xml:space="preserve"> suivi d’une action inscrite au plan de formation ou dans l’offre de formation d’un employeur public ;</w:t>
      </w:r>
    </w:p>
    <w:p w14:paraId="24F20B3F" w14:textId="7CB83FD3" w:rsidR="00CF7707" w:rsidRPr="00635418" w:rsidRDefault="00366CF9" w:rsidP="00635418">
      <w:pPr>
        <w:pStyle w:val="Paragraphedeliste"/>
        <w:numPr>
          <w:ilvl w:val="0"/>
          <w:numId w:val="4"/>
        </w:numPr>
        <w:tabs>
          <w:tab w:val="left" w:pos="990"/>
        </w:tabs>
        <w:ind w:right="140"/>
        <w:jc w:val="both"/>
        <w:rPr>
          <w:rFonts w:asciiTheme="minorHAnsi" w:hAnsiTheme="minorHAnsi" w:cstheme="minorHAnsi"/>
          <w:sz w:val="21"/>
          <w:szCs w:val="21"/>
        </w:rPr>
      </w:pPr>
      <w:proofErr w:type="gramStart"/>
      <w:r w:rsidRPr="00635418">
        <w:rPr>
          <w:rFonts w:asciiTheme="minorHAnsi" w:hAnsiTheme="minorHAnsi" w:cstheme="minorHAnsi"/>
          <w:sz w:val="21"/>
          <w:szCs w:val="21"/>
        </w:rPr>
        <w:t>le</w:t>
      </w:r>
      <w:proofErr w:type="gramEnd"/>
      <w:r w:rsidRPr="00635418">
        <w:rPr>
          <w:rFonts w:asciiTheme="minorHAnsi" w:hAnsiTheme="minorHAnsi" w:cstheme="minorHAnsi"/>
          <w:sz w:val="21"/>
          <w:szCs w:val="21"/>
        </w:rPr>
        <w:t xml:space="preserve"> suivi d’une action proposée par un organisme ayant souscrit aux obligations de déclarations prévues par le code du travail.</w:t>
      </w:r>
    </w:p>
    <w:p w14:paraId="74A6400F" w14:textId="039DC159" w:rsidR="00CF7707" w:rsidRPr="00635418" w:rsidRDefault="00CF7707">
      <w:pPr>
        <w:spacing w:after="1" w:line="259" w:lineRule="auto"/>
        <w:ind w:left="0" w:firstLine="0"/>
        <w:jc w:val="left"/>
        <w:rPr>
          <w:rFonts w:asciiTheme="minorHAnsi" w:hAnsiTheme="minorHAnsi" w:cstheme="minorHAnsi"/>
          <w:color w:val="auto"/>
          <w:sz w:val="21"/>
          <w:szCs w:val="21"/>
        </w:rPr>
      </w:pPr>
    </w:p>
    <w:p w14:paraId="3FE4F86F" w14:textId="77777777" w:rsidR="00CB26C6" w:rsidRPr="00635418" w:rsidRDefault="00CB26C6" w:rsidP="00CB26C6">
      <w:pPr>
        <w:tabs>
          <w:tab w:val="left" w:pos="990"/>
        </w:tabs>
        <w:ind w:right="140"/>
        <w:rPr>
          <w:rFonts w:asciiTheme="minorHAnsi" w:hAnsiTheme="minorHAnsi" w:cstheme="minorHAnsi"/>
          <w:color w:val="auto"/>
          <w:sz w:val="21"/>
          <w:szCs w:val="21"/>
        </w:rPr>
      </w:pPr>
      <w:r w:rsidRPr="00635418">
        <w:rPr>
          <w:rFonts w:asciiTheme="minorHAnsi" w:hAnsiTheme="minorHAnsi" w:cstheme="minorHAnsi"/>
          <w:color w:val="auto"/>
          <w:sz w:val="21"/>
          <w:szCs w:val="21"/>
        </w:rPr>
        <w:t>Un accès prioritaire aux formations destinées à mettre en œuvre un projet d’évolution professionnelle dans le cadre de l’utilisation du CPF est reconnu aux :</w:t>
      </w:r>
    </w:p>
    <w:p w14:paraId="4E1B9BF5" w14:textId="77777777" w:rsidR="00CB26C6" w:rsidRPr="00635418" w:rsidRDefault="00CB26C6" w:rsidP="00CB26C6">
      <w:pPr>
        <w:pStyle w:val="Paragraphedeliste"/>
        <w:numPr>
          <w:ilvl w:val="0"/>
          <w:numId w:val="4"/>
        </w:numPr>
        <w:tabs>
          <w:tab w:val="left" w:pos="990"/>
        </w:tabs>
        <w:ind w:right="140"/>
        <w:jc w:val="both"/>
        <w:rPr>
          <w:rFonts w:asciiTheme="minorHAnsi" w:hAnsiTheme="minorHAnsi" w:cstheme="minorHAnsi"/>
          <w:sz w:val="21"/>
          <w:szCs w:val="21"/>
        </w:rPr>
      </w:pPr>
      <w:r w:rsidRPr="00635418">
        <w:rPr>
          <w:rFonts w:asciiTheme="minorHAnsi" w:hAnsiTheme="minorHAnsi" w:cstheme="minorHAnsi"/>
          <w:sz w:val="21"/>
          <w:szCs w:val="21"/>
        </w:rPr>
        <w:t>Agents de catégorie C n’ayant pas atteint un niveau de formation sanctionné par un diplôme ou un titre professionnel correspondant au niveau 4 ;</w:t>
      </w:r>
    </w:p>
    <w:p w14:paraId="143AD37C" w14:textId="77777777" w:rsidR="00CB26C6" w:rsidRPr="00635418" w:rsidRDefault="00CB26C6" w:rsidP="00CB26C6">
      <w:pPr>
        <w:pStyle w:val="Paragraphedeliste"/>
        <w:numPr>
          <w:ilvl w:val="0"/>
          <w:numId w:val="4"/>
        </w:numPr>
        <w:tabs>
          <w:tab w:val="left" w:pos="990"/>
        </w:tabs>
        <w:ind w:right="140"/>
        <w:jc w:val="both"/>
        <w:rPr>
          <w:rFonts w:asciiTheme="minorHAnsi" w:hAnsiTheme="minorHAnsi" w:cstheme="minorHAnsi"/>
          <w:sz w:val="21"/>
          <w:szCs w:val="21"/>
        </w:rPr>
      </w:pPr>
      <w:r w:rsidRPr="00635418">
        <w:rPr>
          <w:rFonts w:asciiTheme="minorHAnsi" w:hAnsiTheme="minorHAnsi" w:cstheme="minorHAnsi"/>
          <w:sz w:val="21"/>
          <w:szCs w:val="21"/>
        </w:rPr>
        <w:t>Agents en situation de handicap ;</w:t>
      </w:r>
    </w:p>
    <w:p w14:paraId="2FCFE87B" w14:textId="77777777" w:rsidR="00CB26C6" w:rsidRPr="00635418" w:rsidRDefault="00CB26C6" w:rsidP="00CB26C6">
      <w:pPr>
        <w:pStyle w:val="Paragraphedeliste"/>
        <w:numPr>
          <w:ilvl w:val="0"/>
          <w:numId w:val="4"/>
        </w:numPr>
        <w:tabs>
          <w:tab w:val="left" w:pos="990"/>
        </w:tabs>
        <w:ind w:right="140"/>
        <w:jc w:val="both"/>
        <w:rPr>
          <w:rFonts w:asciiTheme="minorHAnsi" w:hAnsiTheme="minorHAnsi" w:cstheme="minorHAnsi"/>
          <w:sz w:val="21"/>
          <w:szCs w:val="21"/>
        </w:rPr>
      </w:pPr>
      <w:r w:rsidRPr="00635418">
        <w:rPr>
          <w:rFonts w:asciiTheme="minorHAnsi" w:hAnsiTheme="minorHAnsi" w:cstheme="minorHAnsi"/>
          <w:sz w:val="21"/>
          <w:szCs w:val="21"/>
        </w:rPr>
        <w:t>Agents particulièrement exposés à un risque d’usure professionnelle.</w:t>
      </w:r>
    </w:p>
    <w:p w14:paraId="56168582" w14:textId="77777777" w:rsidR="00CB26C6" w:rsidRPr="00635418" w:rsidRDefault="00CB26C6" w:rsidP="00CB26C6">
      <w:pPr>
        <w:tabs>
          <w:tab w:val="left" w:pos="990"/>
        </w:tabs>
        <w:ind w:right="140"/>
        <w:rPr>
          <w:rFonts w:asciiTheme="minorHAnsi" w:hAnsiTheme="minorHAnsi" w:cstheme="minorHAnsi"/>
          <w:color w:val="auto"/>
          <w:sz w:val="21"/>
          <w:szCs w:val="21"/>
        </w:rPr>
      </w:pPr>
    </w:p>
    <w:p w14:paraId="28F466ED"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L’agent sollicite l’accord écrit de son employeur sur la nature, le calendrier et le financement de la formation souhaitée, </w:t>
      </w:r>
      <w:r w:rsidRPr="00635418">
        <w:rPr>
          <w:rFonts w:asciiTheme="minorHAnsi" w:hAnsiTheme="minorHAnsi" w:cstheme="minorHAnsi"/>
          <w:b/>
          <w:color w:val="auto"/>
          <w:sz w:val="21"/>
          <w:szCs w:val="21"/>
        </w:rPr>
        <w:t>en précisant le projet d’évolution professionnelle</w:t>
      </w:r>
      <w:r w:rsidRPr="00635418">
        <w:rPr>
          <w:rFonts w:asciiTheme="minorHAnsi" w:hAnsiTheme="minorHAnsi" w:cstheme="minorHAnsi"/>
          <w:color w:val="auto"/>
          <w:sz w:val="21"/>
          <w:szCs w:val="21"/>
        </w:rPr>
        <w:t xml:space="preserve"> qui fonde sa demande. </w:t>
      </w:r>
    </w:p>
    <w:p w14:paraId="431D6618" w14:textId="5D95DC65" w:rsidR="00CF7707" w:rsidRPr="00635418" w:rsidRDefault="00CF7707">
      <w:pPr>
        <w:spacing w:after="0" w:line="259" w:lineRule="auto"/>
        <w:ind w:left="0" w:firstLine="0"/>
        <w:jc w:val="left"/>
        <w:rPr>
          <w:rFonts w:asciiTheme="minorHAnsi" w:hAnsiTheme="minorHAnsi" w:cstheme="minorHAnsi"/>
          <w:color w:val="auto"/>
          <w:sz w:val="21"/>
          <w:szCs w:val="21"/>
        </w:rPr>
      </w:pPr>
    </w:p>
    <w:p w14:paraId="59E271F2" w14:textId="01BD7DF5"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Lors de l’instruction des demandes de formation au titre du CPF, l'autorité administrative examine les demandes en donnant une priorité aux actions de formation visant à :</w:t>
      </w:r>
    </w:p>
    <w:p w14:paraId="5F3A38D7" w14:textId="21EDCB01" w:rsidR="00CF7707" w:rsidRPr="00635418" w:rsidRDefault="00366CF9" w:rsidP="00635418">
      <w:pPr>
        <w:numPr>
          <w:ilvl w:val="0"/>
          <w:numId w:val="1"/>
        </w:numPr>
        <w:ind w:left="1418" w:right="130"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obtenir</w:t>
      </w:r>
      <w:proofErr w:type="gramEnd"/>
      <w:r w:rsidRPr="00635418">
        <w:rPr>
          <w:rFonts w:asciiTheme="minorHAnsi" w:hAnsiTheme="minorHAnsi" w:cstheme="minorHAnsi"/>
          <w:color w:val="auto"/>
          <w:sz w:val="21"/>
          <w:szCs w:val="21"/>
        </w:rPr>
        <w:t xml:space="preserve"> une certification professionnelle « </w:t>
      </w:r>
      <w:proofErr w:type="spellStart"/>
      <w:r w:rsidRPr="00635418">
        <w:rPr>
          <w:rFonts w:asciiTheme="minorHAnsi" w:hAnsiTheme="minorHAnsi" w:cstheme="minorHAnsi"/>
          <w:color w:val="auto"/>
          <w:sz w:val="21"/>
          <w:szCs w:val="21"/>
        </w:rPr>
        <w:t>CléA</w:t>
      </w:r>
      <w:proofErr w:type="spellEnd"/>
      <w:r w:rsidRPr="00635418">
        <w:rPr>
          <w:rFonts w:asciiTheme="minorHAnsi" w:hAnsiTheme="minorHAnsi" w:cstheme="minorHAnsi"/>
          <w:color w:val="auto"/>
          <w:sz w:val="21"/>
          <w:szCs w:val="21"/>
        </w:rPr>
        <w:t xml:space="preserve"> » </w:t>
      </w:r>
      <w:r w:rsidRPr="00635418">
        <w:rPr>
          <w:rFonts w:asciiTheme="minorHAnsi" w:hAnsiTheme="minorHAnsi" w:cstheme="minorHAnsi"/>
          <w:b/>
          <w:color w:val="auto"/>
          <w:sz w:val="21"/>
          <w:szCs w:val="21"/>
        </w:rPr>
        <w:t>***</w:t>
      </w:r>
      <w:r w:rsidRPr="00635418">
        <w:rPr>
          <w:rFonts w:asciiTheme="minorHAnsi" w:hAnsiTheme="minorHAnsi" w:cstheme="minorHAnsi"/>
          <w:color w:val="auto"/>
          <w:sz w:val="21"/>
          <w:szCs w:val="21"/>
        </w:rPr>
        <w:t xml:space="preserve"> ;</w:t>
      </w:r>
    </w:p>
    <w:p w14:paraId="00ACD63A" w14:textId="77777777" w:rsidR="00635418" w:rsidRDefault="00366CF9" w:rsidP="00635418">
      <w:pPr>
        <w:numPr>
          <w:ilvl w:val="0"/>
          <w:numId w:val="1"/>
        </w:numPr>
        <w:ind w:left="1418" w:right="130"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prévenir</w:t>
      </w:r>
      <w:proofErr w:type="gramEnd"/>
      <w:r w:rsidRPr="00635418">
        <w:rPr>
          <w:rFonts w:asciiTheme="minorHAnsi" w:hAnsiTheme="minorHAnsi" w:cstheme="minorHAnsi"/>
          <w:color w:val="auto"/>
          <w:sz w:val="21"/>
          <w:szCs w:val="21"/>
        </w:rPr>
        <w:t xml:space="preserve"> une situation d'inaptitude à l'exercice des fonctions ; les droits des personnes concernées peuvent être abondés d’un crédit d’heures supplémentaires dans la limite de </w:t>
      </w:r>
      <w:r w:rsidR="00635418">
        <w:rPr>
          <w:rFonts w:asciiTheme="minorHAnsi" w:hAnsiTheme="minorHAnsi" w:cstheme="minorHAnsi"/>
          <w:color w:val="auto"/>
          <w:sz w:val="21"/>
          <w:szCs w:val="21"/>
        </w:rPr>
        <w:br/>
      </w:r>
      <w:r w:rsidRPr="00635418">
        <w:rPr>
          <w:rFonts w:asciiTheme="minorHAnsi" w:hAnsiTheme="minorHAnsi" w:cstheme="minorHAnsi"/>
          <w:color w:val="auto"/>
          <w:sz w:val="21"/>
          <w:szCs w:val="21"/>
        </w:rPr>
        <w:t>150 heures, en vue de faciliter l’accès aux formations qui leur permettront de réorienter leur parcours professionnel. Dans ce cas de figure, l’agent doit produire un avis du médecin de prévention ou du médecin de travail attestant que son état de santé l’expose, compte tenu de ses conditions de travail, à un risque d’inaptitude à l’exercice de ses fonctions ;</w:t>
      </w:r>
    </w:p>
    <w:p w14:paraId="57A36779" w14:textId="6C4E5110" w:rsidR="00CF7707" w:rsidRPr="00635418" w:rsidRDefault="00366CF9" w:rsidP="00635418">
      <w:pPr>
        <w:numPr>
          <w:ilvl w:val="0"/>
          <w:numId w:val="1"/>
        </w:numPr>
        <w:ind w:left="1418" w:right="130"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valider</w:t>
      </w:r>
      <w:proofErr w:type="gramEnd"/>
      <w:r w:rsidRPr="00635418">
        <w:rPr>
          <w:rFonts w:asciiTheme="minorHAnsi" w:hAnsiTheme="minorHAnsi" w:cstheme="minorHAnsi"/>
          <w:color w:val="auto"/>
          <w:sz w:val="21"/>
          <w:szCs w:val="21"/>
        </w:rPr>
        <w:t xml:space="preserve"> des acquis de l'expérience par un diplôme, un titre ou une certification inscrite au répertoire national des certifications professionnelles ;</w:t>
      </w:r>
    </w:p>
    <w:p w14:paraId="32C55EDB" w14:textId="77777777" w:rsidR="00CF7707" w:rsidRPr="00635418" w:rsidRDefault="00366CF9" w:rsidP="00635418">
      <w:pPr>
        <w:numPr>
          <w:ilvl w:val="0"/>
          <w:numId w:val="1"/>
        </w:numPr>
        <w:ind w:left="1418" w:right="130"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préparer</w:t>
      </w:r>
      <w:proofErr w:type="gramEnd"/>
      <w:r w:rsidRPr="00635418">
        <w:rPr>
          <w:rFonts w:asciiTheme="minorHAnsi" w:hAnsiTheme="minorHAnsi" w:cstheme="minorHAnsi"/>
          <w:color w:val="auto"/>
          <w:sz w:val="21"/>
          <w:szCs w:val="21"/>
        </w:rPr>
        <w:t xml:space="preserve"> des concours et examens professionnels.  </w:t>
      </w:r>
    </w:p>
    <w:p w14:paraId="58D4BF7D" w14:textId="1388BE26" w:rsidR="00CF7707" w:rsidRPr="00635418" w:rsidRDefault="00CF7707">
      <w:pPr>
        <w:spacing w:after="0" w:line="259" w:lineRule="auto"/>
        <w:ind w:left="0" w:firstLine="0"/>
        <w:jc w:val="left"/>
        <w:rPr>
          <w:rFonts w:asciiTheme="minorHAnsi" w:hAnsiTheme="minorHAnsi" w:cstheme="minorHAnsi"/>
          <w:color w:val="auto"/>
          <w:sz w:val="21"/>
          <w:szCs w:val="21"/>
        </w:rPr>
      </w:pPr>
    </w:p>
    <w:p w14:paraId="74C306A2"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b/>
          <w:color w:val="auto"/>
          <w:sz w:val="21"/>
          <w:szCs w:val="21"/>
        </w:rPr>
        <w:t xml:space="preserve">*** </w:t>
      </w:r>
      <w:r w:rsidRPr="00635418">
        <w:rPr>
          <w:rFonts w:asciiTheme="minorHAnsi" w:hAnsiTheme="minorHAnsi" w:cstheme="minorHAnsi"/>
          <w:color w:val="auto"/>
          <w:sz w:val="21"/>
          <w:szCs w:val="21"/>
        </w:rPr>
        <w:t xml:space="preserve">Pour rappel, </w:t>
      </w:r>
      <w:r w:rsidRPr="00635418">
        <w:rPr>
          <w:rFonts w:asciiTheme="minorHAnsi" w:hAnsiTheme="minorHAnsi" w:cstheme="minorHAnsi"/>
          <w:b/>
          <w:color w:val="auto"/>
          <w:sz w:val="21"/>
          <w:szCs w:val="21"/>
        </w:rPr>
        <w:t xml:space="preserve">la certification professionnelle « </w:t>
      </w:r>
      <w:proofErr w:type="spellStart"/>
      <w:r w:rsidRPr="00635418">
        <w:rPr>
          <w:rFonts w:asciiTheme="minorHAnsi" w:hAnsiTheme="minorHAnsi" w:cstheme="minorHAnsi"/>
          <w:b/>
          <w:color w:val="auto"/>
          <w:sz w:val="21"/>
          <w:szCs w:val="21"/>
        </w:rPr>
        <w:t>CléA</w:t>
      </w:r>
      <w:proofErr w:type="spellEnd"/>
      <w:r w:rsidRPr="00635418">
        <w:rPr>
          <w:rFonts w:asciiTheme="minorHAnsi" w:hAnsiTheme="minorHAnsi" w:cstheme="minorHAnsi"/>
          <w:b/>
          <w:color w:val="auto"/>
          <w:sz w:val="21"/>
          <w:szCs w:val="21"/>
        </w:rPr>
        <w:t xml:space="preserve"> » s’inscrit dans le champ des </w:t>
      </w:r>
      <w:r w:rsidRPr="00635418">
        <w:rPr>
          <w:rFonts w:asciiTheme="minorHAnsi" w:hAnsiTheme="minorHAnsi" w:cstheme="minorHAnsi"/>
          <w:b/>
          <w:color w:val="auto"/>
          <w:sz w:val="21"/>
          <w:szCs w:val="21"/>
          <w:u w:val="single" w:color="833C0B"/>
        </w:rPr>
        <w:t>formations</w:t>
      </w:r>
      <w:r w:rsidRPr="00635418">
        <w:rPr>
          <w:rFonts w:asciiTheme="minorHAnsi" w:hAnsiTheme="minorHAnsi" w:cstheme="minorHAnsi"/>
          <w:b/>
          <w:color w:val="auto"/>
          <w:sz w:val="21"/>
          <w:szCs w:val="21"/>
        </w:rPr>
        <w:t xml:space="preserve"> </w:t>
      </w:r>
      <w:r w:rsidRPr="00635418">
        <w:rPr>
          <w:rFonts w:asciiTheme="minorHAnsi" w:hAnsiTheme="minorHAnsi" w:cstheme="minorHAnsi"/>
          <w:b/>
          <w:color w:val="auto"/>
          <w:sz w:val="21"/>
          <w:szCs w:val="21"/>
          <w:u w:val="single" w:color="833C0B"/>
        </w:rPr>
        <w:t>obligatoires</w:t>
      </w:r>
      <w:r w:rsidRPr="00635418">
        <w:rPr>
          <w:rFonts w:asciiTheme="minorHAnsi" w:hAnsiTheme="minorHAnsi" w:cstheme="minorHAnsi"/>
          <w:color w:val="auto"/>
          <w:sz w:val="21"/>
          <w:szCs w:val="21"/>
        </w:rPr>
        <w:t xml:space="preserve">. </w:t>
      </w:r>
      <w:r w:rsidRPr="00635418">
        <w:rPr>
          <w:rFonts w:asciiTheme="minorHAnsi" w:hAnsiTheme="minorHAnsi" w:cstheme="minorHAnsi"/>
          <w:b/>
          <w:color w:val="auto"/>
          <w:sz w:val="21"/>
          <w:szCs w:val="21"/>
        </w:rPr>
        <w:t xml:space="preserve">L’accès au certificat « </w:t>
      </w:r>
      <w:proofErr w:type="spellStart"/>
      <w:r w:rsidRPr="00635418">
        <w:rPr>
          <w:rFonts w:asciiTheme="minorHAnsi" w:hAnsiTheme="minorHAnsi" w:cstheme="minorHAnsi"/>
          <w:b/>
          <w:color w:val="auto"/>
          <w:sz w:val="21"/>
          <w:szCs w:val="21"/>
        </w:rPr>
        <w:t>CléA</w:t>
      </w:r>
      <w:proofErr w:type="spellEnd"/>
      <w:r w:rsidRPr="00635418">
        <w:rPr>
          <w:rFonts w:asciiTheme="minorHAnsi" w:hAnsiTheme="minorHAnsi" w:cstheme="minorHAnsi"/>
          <w:b/>
          <w:color w:val="auto"/>
          <w:sz w:val="21"/>
          <w:szCs w:val="21"/>
        </w:rPr>
        <w:t xml:space="preserve"> » est de droit</w:t>
      </w:r>
      <w:r w:rsidRPr="00635418">
        <w:rPr>
          <w:rFonts w:asciiTheme="minorHAnsi" w:hAnsiTheme="minorHAnsi" w:cstheme="minorHAnsi"/>
          <w:color w:val="auto"/>
          <w:sz w:val="21"/>
          <w:szCs w:val="21"/>
        </w:rPr>
        <w:t xml:space="preserve">, l’employeur ne peut que reporter le bénéfice de cette formation dans la limite d’une année en raison des nécessités de service.  </w:t>
      </w:r>
    </w:p>
    <w:p w14:paraId="78E26817" w14:textId="77777777" w:rsidR="00CF7707" w:rsidRPr="00635418" w:rsidRDefault="00366CF9">
      <w:pPr>
        <w:spacing w:after="0" w:line="259" w:lineRule="auto"/>
        <w:ind w:left="0" w:firstLine="0"/>
        <w:jc w:val="left"/>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 </w:t>
      </w:r>
    </w:p>
    <w:p w14:paraId="38FCF41B" w14:textId="77777777" w:rsidR="00635418" w:rsidRDefault="00635418">
      <w:pPr>
        <w:ind w:left="-5" w:right="130"/>
        <w:rPr>
          <w:rFonts w:asciiTheme="minorHAnsi" w:hAnsiTheme="minorHAnsi" w:cstheme="minorHAnsi"/>
          <w:color w:val="auto"/>
          <w:sz w:val="21"/>
          <w:szCs w:val="21"/>
        </w:rPr>
      </w:pPr>
    </w:p>
    <w:p w14:paraId="20C02249" w14:textId="5B2D72DE"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lastRenderedPageBreak/>
        <w:t xml:space="preserve">Le compte personnel de formation peut également être mobilisé en articulation avec le congé de formation professionnelle et en complément des congés pour validation des acquis de l’expérience et pour bilan de compétences.  </w:t>
      </w:r>
    </w:p>
    <w:p w14:paraId="05EFFB9A" w14:textId="1BA698EB" w:rsidR="00CF7707" w:rsidRPr="00635418" w:rsidRDefault="00CF7707">
      <w:pPr>
        <w:spacing w:after="17" w:line="259" w:lineRule="auto"/>
        <w:ind w:left="0" w:firstLine="0"/>
        <w:jc w:val="left"/>
        <w:rPr>
          <w:rFonts w:asciiTheme="minorHAnsi" w:hAnsiTheme="minorHAnsi" w:cstheme="minorHAnsi"/>
          <w:color w:val="auto"/>
          <w:sz w:val="21"/>
          <w:szCs w:val="21"/>
        </w:rPr>
      </w:pPr>
    </w:p>
    <w:p w14:paraId="6293F572"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L’employeur prend en charge les frais pédagogiques qui se rattachent à la formation suivie au titre du CPF. </w:t>
      </w:r>
    </w:p>
    <w:p w14:paraId="613C0096" w14:textId="390291B5" w:rsidR="00CF7707" w:rsidRPr="00635418" w:rsidRDefault="00CF7707">
      <w:pPr>
        <w:spacing w:after="0" w:line="259" w:lineRule="auto"/>
        <w:ind w:left="0" w:firstLine="0"/>
        <w:jc w:val="left"/>
        <w:rPr>
          <w:rFonts w:asciiTheme="minorHAnsi" w:hAnsiTheme="minorHAnsi" w:cstheme="minorHAnsi"/>
          <w:color w:val="auto"/>
          <w:sz w:val="21"/>
          <w:szCs w:val="21"/>
        </w:rPr>
      </w:pPr>
    </w:p>
    <w:p w14:paraId="55EF6317"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Il peut également prendre en charge les frais occasionnés par leurs déplacements.  </w:t>
      </w:r>
    </w:p>
    <w:p w14:paraId="5BB95912" w14:textId="329CA911" w:rsidR="00CF7707" w:rsidRPr="00635418" w:rsidRDefault="00CF7707">
      <w:pPr>
        <w:spacing w:after="0" w:line="259" w:lineRule="auto"/>
        <w:ind w:left="0" w:firstLine="0"/>
        <w:jc w:val="left"/>
        <w:rPr>
          <w:rFonts w:asciiTheme="minorHAnsi" w:hAnsiTheme="minorHAnsi" w:cstheme="minorHAnsi"/>
          <w:color w:val="auto"/>
          <w:sz w:val="21"/>
          <w:szCs w:val="21"/>
        </w:rPr>
      </w:pPr>
    </w:p>
    <w:p w14:paraId="709B0112"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La prise en charge de ces frais peut faire l’objet de plafonds déterminés par une délibération de l’organe délibérant. </w:t>
      </w:r>
    </w:p>
    <w:p w14:paraId="5A8C16DC" w14:textId="32FB3BF8" w:rsidR="00CF7707" w:rsidRPr="00635418" w:rsidRDefault="00635418">
      <w:pPr>
        <w:spacing w:after="0" w:line="259" w:lineRule="auto"/>
        <w:ind w:left="0" w:firstLine="0"/>
        <w:jc w:val="left"/>
        <w:rPr>
          <w:rFonts w:asciiTheme="minorHAnsi" w:hAnsiTheme="minorHAnsi" w:cstheme="minorHAnsi"/>
          <w:color w:val="auto"/>
          <w:sz w:val="21"/>
          <w:szCs w:val="21"/>
        </w:rPr>
      </w:pPr>
      <w:r>
        <w:rPr>
          <w:rFonts w:asciiTheme="minorHAnsi" w:hAnsiTheme="minorHAnsi" w:cstheme="minorHAnsi"/>
          <w:color w:val="auto"/>
          <w:sz w:val="21"/>
          <w:szCs w:val="21"/>
        </w:rPr>
        <w:t>*</w:t>
      </w:r>
    </w:p>
    <w:p w14:paraId="4B55D023"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C’est pourquoi, </w:t>
      </w:r>
      <w:r w:rsidRPr="00635418">
        <w:rPr>
          <w:rFonts w:asciiTheme="minorHAnsi" w:hAnsiTheme="minorHAnsi" w:cstheme="minorHAnsi"/>
          <w:i/>
          <w:color w:val="auto"/>
          <w:sz w:val="21"/>
          <w:szCs w:val="21"/>
        </w:rPr>
        <w:t>le Maire/le Président</w:t>
      </w:r>
      <w:r w:rsidRPr="00635418">
        <w:rPr>
          <w:rFonts w:asciiTheme="minorHAnsi" w:hAnsiTheme="minorHAnsi" w:cstheme="minorHAnsi"/>
          <w:color w:val="auto"/>
          <w:sz w:val="21"/>
          <w:szCs w:val="21"/>
        </w:rPr>
        <w:t xml:space="preserve"> propose : </w:t>
      </w:r>
    </w:p>
    <w:p w14:paraId="361E9CDE" w14:textId="77777777" w:rsidR="00CF7707" w:rsidRPr="00635418" w:rsidRDefault="00366CF9">
      <w:pPr>
        <w:spacing w:after="0" w:line="259" w:lineRule="auto"/>
        <w:ind w:left="0" w:firstLine="0"/>
        <w:jc w:val="left"/>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 </w:t>
      </w:r>
    </w:p>
    <w:p w14:paraId="4F74B56F" w14:textId="77777777" w:rsidR="00CF7707" w:rsidRPr="00635418" w:rsidRDefault="00366CF9">
      <w:pPr>
        <w:numPr>
          <w:ilvl w:val="0"/>
          <w:numId w:val="2"/>
        </w:numPr>
        <w:spacing w:after="43"/>
        <w:ind w:right="287"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de</w:t>
      </w:r>
      <w:proofErr w:type="gramEnd"/>
      <w:r w:rsidRPr="00635418">
        <w:rPr>
          <w:rFonts w:asciiTheme="minorHAnsi" w:hAnsiTheme="minorHAnsi" w:cstheme="minorHAnsi"/>
          <w:color w:val="auto"/>
          <w:sz w:val="21"/>
          <w:szCs w:val="21"/>
        </w:rPr>
        <w:t xml:space="preserve"> plafonner la prise en charge des frais pédagogiques, se rattachant à la formation suivie au titre du compte personnel de formation à xxx € par an et par agent dans la limite d’une dépense de </w:t>
      </w:r>
      <w:proofErr w:type="spellStart"/>
      <w:r w:rsidRPr="00635418">
        <w:rPr>
          <w:rFonts w:asciiTheme="minorHAnsi" w:hAnsiTheme="minorHAnsi" w:cstheme="minorHAnsi"/>
          <w:color w:val="auto"/>
          <w:sz w:val="21"/>
          <w:szCs w:val="21"/>
        </w:rPr>
        <w:t>xxxx</w:t>
      </w:r>
      <w:proofErr w:type="spellEnd"/>
      <w:r w:rsidRPr="00635418">
        <w:rPr>
          <w:rFonts w:asciiTheme="minorHAnsi" w:hAnsiTheme="minorHAnsi" w:cstheme="minorHAnsi"/>
          <w:color w:val="auto"/>
          <w:sz w:val="21"/>
          <w:szCs w:val="21"/>
        </w:rPr>
        <w:t xml:space="preserve"> € par année civile pour </w:t>
      </w:r>
      <w:r w:rsidRPr="00635418">
        <w:rPr>
          <w:rFonts w:asciiTheme="minorHAnsi" w:hAnsiTheme="minorHAnsi" w:cstheme="minorHAnsi"/>
          <w:i/>
          <w:color w:val="auto"/>
          <w:sz w:val="21"/>
          <w:szCs w:val="21"/>
        </w:rPr>
        <w:t>la collectivité/l’établissement</w:t>
      </w:r>
      <w:r w:rsidRPr="00635418">
        <w:rPr>
          <w:rFonts w:asciiTheme="minorHAnsi" w:hAnsiTheme="minorHAnsi" w:cstheme="minorHAnsi"/>
          <w:color w:val="auto"/>
          <w:sz w:val="21"/>
          <w:szCs w:val="21"/>
        </w:rPr>
        <w:t xml:space="preserve"> ;  </w:t>
      </w:r>
    </w:p>
    <w:p w14:paraId="4B61336C" w14:textId="77777777" w:rsidR="00CF7707" w:rsidRPr="00635418" w:rsidRDefault="00366CF9">
      <w:pPr>
        <w:numPr>
          <w:ilvl w:val="0"/>
          <w:numId w:val="2"/>
        </w:numPr>
        <w:ind w:right="287"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décide</w:t>
      </w:r>
      <w:proofErr w:type="gramEnd"/>
      <w:r w:rsidRPr="00635418">
        <w:rPr>
          <w:rFonts w:asciiTheme="minorHAnsi" w:hAnsiTheme="minorHAnsi" w:cstheme="minorHAnsi"/>
          <w:color w:val="auto"/>
          <w:sz w:val="21"/>
          <w:szCs w:val="21"/>
        </w:rPr>
        <w:t xml:space="preserve"> qu’une prise en charge supplémentaire des frais pédagogiques pourra être envisagée, après décision du Conseil municipal en cas de demande de formation destinée à prévenir une situation d'inaptitude à l'exercice des fonctions ; </w:t>
      </w:r>
    </w:p>
    <w:p w14:paraId="6AFE96BD" w14:textId="77777777" w:rsidR="00CF7707" w:rsidRPr="00635418" w:rsidRDefault="00366CF9">
      <w:pPr>
        <w:numPr>
          <w:ilvl w:val="0"/>
          <w:numId w:val="2"/>
        </w:numPr>
        <w:ind w:right="287" w:hanging="360"/>
        <w:rPr>
          <w:rFonts w:asciiTheme="minorHAnsi" w:hAnsiTheme="minorHAnsi" w:cstheme="minorHAnsi"/>
          <w:color w:val="auto"/>
          <w:sz w:val="21"/>
          <w:szCs w:val="21"/>
        </w:rPr>
      </w:pPr>
      <w:proofErr w:type="gramStart"/>
      <w:r w:rsidRPr="00635418">
        <w:rPr>
          <w:rFonts w:asciiTheme="minorHAnsi" w:hAnsiTheme="minorHAnsi" w:cstheme="minorHAnsi"/>
          <w:i/>
          <w:color w:val="auto"/>
          <w:sz w:val="21"/>
          <w:szCs w:val="21"/>
        </w:rPr>
        <w:t>de</w:t>
      </w:r>
      <w:proofErr w:type="gramEnd"/>
      <w:r w:rsidRPr="00635418">
        <w:rPr>
          <w:rFonts w:asciiTheme="minorHAnsi" w:hAnsiTheme="minorHAnsi" w:cstheme="minorHAnsi"/>
          <w:i/>
          <w:color w:val="auto"/>
          <w:sz w:val="21"/>
          <w:szCs w:val="21"/>
        </w:rPr>
        <w:t xml:space="preserve"> prendre OU de ne pas prendre</w:t>
      </w:r>
      <w:r w:rsidRPr="00635418">
        <w:rPr>
          <w:rFonts w:asciiTheme="minorHAnsi" w:hAnsiTheme="minorHAnsi" w:cstheme="minorHAnsi"/>
          <w:color w:val="auto"/>
          <w:sz w:val="21"/>
          <w:szCs w:val="21"/>
        </w:rPr>
        <w:t xml:space="preserve"> en charge les frais occasionnés par le déplacement des agents lors de ces formations ;  </w:t>
      </w:r>
    </w:p>
    <w:p w14:paraId="43E9CF10" w14:textId="77777777" w:rsidR="00CF7707" w:rsidRPr="00635418" w:rsidRDefault="00366CF9">
      <w:pPr>
        <w:numPr>
          <w:ilvl w:val="0"/>
          <w:numId w:val="2"/>
        </w:numPr>
        <w:ind w:right="287"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de</w:t>
      </w:r>
      <w:proofErr w:type="gramEnd"/>
      <w:r w:rsidRPr="00635418">
        <w:rPr>
          <w:rFonts w:asciiTheme="minorHAnsi" w:hAnsiTheme="minorHAnsi" w:cstheme="minorHAnsi"/>
          <w:color w:val="auto"/>
          <w:sz w:val="21"/>
          <w:szCs w:val="21"/>
        </w:rPr>
        <w:t xml:space="preserve"> valider le formulaire de demande de CPF ci-joint</w:t>
      </w:r>
      <w:r w:rsidRPr="00635418">
        <w:rPr>
          <w:rFonts w:asciiTheme="minorHAnsi" w:hAnsiTheme="minorHAnsi" w:cstheme="minorHAnsi"/>
          <w:i/>
          <w:color w:val="auto"/>
          <w:sz w:val="21"/>
          <w:szCs w:val="21"/>
        </w:rPr>
        <w:t xml:space="preserve"> ; -&gt; uniquement si la collectivité ou l’établissement a prévu l’utilisation du formulaire de demande de CPF</w:t>
      </w:r>
      <w:r w:rsidRPr="00635418">
        <w:rPr>
          <w:rFonts w:asciiTheme="minorHAnsi" w:hAnsiTheme="minorHAnsi" w:cstheme="minorHAnsi"/>
          <w:color w:val="auto"/>
          <w:sz w:val="21"/>
          <w:szCs w:val="21"/>
        </w:rPr>
        <w:t xml:space="preserve"> </w:t>
      </w:r>
      <w:r w:rsidRPr="00635418">
        <w:rPr>
          <w:rFonts w:asciiTheme="minorHAnsi" w:eastAsia="Segoe UI Symbol" w:hAnsiTheme="minorHAnsi" w:cstheme="minorHAnsi"/>
          <w:color w:val="auto"/>
          <w:sz w:val="21"/>
          <w:szCs w:val="21"/>
        </w:rPr>
        <w:t></w:t>
      </w:r>
      <w:r w:rsidRPr="00635418">
        <w:rPr>
          <w:rFonts w:asciiTheme="minorHAnsi" w:hAnsiTheme="minorHAnsi" w:cstheme="minorHAnsi"/>
          <w:color w:val="auto"/>
          <w:sz w:val="21"/>
          <w:szCs w:val="21"/>
        </w:rPr>
        <w:t xml:space="preserve"> qu’un délai minimum de 2 mois devra être respecté entre la réception de la demande de CPF </w:t>
      </w:r>
    </w:p>
    <w:p w14:paraId="7BB98322" w14:textId="77777777" w:rsidR="00CF7707" w:rsidRPr="00635418" w:rsidRDefault="00366CF9">
      <w:pPr>
        <w:ind w:left="1450" w:right="13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par</w:t>
      </w:r>
      <w:proofErr w:type="gramEnd"/>
      <w:r w:rsidRPr="00635418">
        <w:rPr>
          <w:rFonts w:asciiTheme="minorHAnsi" w:hAnsiTheme="minorHAnsi" w:cstheme="minorHAnsi"/>
          <w:color w:val="auto"/>
          <w:sz w:val="21"/>
          <w:szCs w:val="21"/>
        </w:rPr>
        <w:t xml:space="preserve"> la </w:t>
      </w:r>
      <w:r w:rsidRPr="00635418">
        <w:rPr>
          <w:rFonts w:asciiTheme="minorHAnsi" w:hAnsiTheme="minorHAnsi" w:cstheme="minorHAnsi"/>
          <w:i/>
          <w:color w:val="auto"/>
          <w:sz w:val="21"/>
          <w:szCs w:val="21"/>
        </w:rPr>
        <w:t>collectivité/ l’établissement</w:t>
      </w:r>
      <w:r w:rsidRPr="00635418">
        <w:rPr>
          <w:rFonts w:asciiTheme="minorHAnsi" w:hAnsiTheme="minorHAnsi" w:cstheme="minorHAnsi"/>
          <w:color w:val="auto"/>
          <w:sz w:val="21"/>
          <w:szCs w:val="21"/>
        </w:rPr>
        <w:t xml:space="preserve"> et le début de la formation de l’agent. </w:t>
      </w:r>
    </w:p>
    <w:p w14:paraId="4B9E9D36" w14:textId="29380A7D" w:rsidR="00CF7707" w:rsidRPr="00635418" w:rsidRDefault="00CF7707" w:rsidP="00635418">
      <w:pPr>
        <w:spacing w:after="0" w:line="240" w:lineRule="auto"/>
        <w:ind w:left="0" w:firstLine="0"/>
        <w:jc w:val="left"/>
        <w:rPr>
          <w:rFonts w:asciiTheme="minorHAnsi" w:hAnsiTheme="minorHAnsi" w:cstheme="minorHAnsi"/>
          <w:color w:val="auto"/>
          <w:sz w:val="21"/>
          <w:szCs w:val="21"/>
        </w:rPr>
      </w:pPr>
    </w:p>
    <w:p w14:paraId="1F020326" w14:textId="77777777" w:rsidR="00CF7707" w:rsidRPr="00635418" w:rsidRDefault="00366CF9" w:rsidP="00635418">
      <w:pPr>
        <w:spacing w:after="0" w:line="240" w:lineRule="auto"/>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Et précise que : </w:t>
      </w:r>
    </w:p>
    <w:p w14:paraId="2B3F9D2D" w14:textId="65F72929" w:rsidR="00CF7707" w:rsidRPr="00635418" w:rsidRDefault="00CF7707" w:rsidP="00635418">
      <w:pPr>
        <w:spacing w:after="0" w:line="240" w:lineRule="auto"/>
        <w:ind w:left="0" w:firstLine="0"/>
        <w:jc w:val="left"/>
        <w:rPr>
          <w:rFonts w:asciiTheme="minorHAnsi" w:hAnsiTheme="minorHAnsi" w:cstheme="minorHAnsi"/>
          <w:color w:val="auto"/>
          <w:sz w:val="21"/>
          <w:szCs w:val="21"/>
        </w:rPr>
      </w:pPr>
    </w:p>
    <w:p w14:paraId="427D8F0E" w14:textId="77777777" w:rsidR="00CF7707" w:rsidRPr="00635418" w:rsidRDefault="00366CF9">
      <w:pPr>
        <w:numPr>
          <w:ilvl w:val="0"/>
          <w:numId w:val="2"/>
        </w:numPr>
        <w:ind w:right="287" w:hanging="36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Le financement du coût pédagogique d’une certification « </w:t>
      </w:r>
      <w:proofErr w:type="spellStart"/>
      <w:r w:rsidRPr="00635418">
        <w:rPr>
          <w:rFonts w:asciiTheme="minorHAnsi" w:hAnsiTheme="minorHAnsi" w:cstheme="minorHAnsi"/>
          <w:color w:val="auto"/>
          <w:sz w:val="21"/>
          <w:szCs w:val="21"/>
        </w:rPr>
        <w:t>CléA</w:t>
      </w:r>
      <w:proofErr w:type="spellEnd"/>
      <w:r w:rsidRPr="00635418">
        <w:rPr>
          <w:rFonts w:asciiTheme="minorHAnsi" w:hAnsiTheme="minorHAnsi" w:cstheme="minorHAnsi"/>
          <w:color w:val="auto"/>
          <w:sz w:val="21"/>
          <w:szCs w:val="21"/>
        </w:rPr>
        <w:t xml:space="preserve"> », incombe à l’employeur, sous réserve que l’agent remplisse les conditions préalables au suivi et à la validation de cette certification. Le coût de cette certification est évalué entre 5 000 et 7 000€.  </w:t>
      </w:r>
    </w:p>
    <w:p w14:paraId="65E5DF67" w14:textId="743DD931" w:rsidR="00CF7707" w:rsidRPr="00635418" w:rsidRDefault="00CF7707">
      <w:pPr>
        <w:spacing w:after="7" w:line="259" w:lineRule="auto"/>
        <w:ind w:left="0" w:firstLine="0"/>
        <w:jc w:val="left"/>
        <w:rPr>
          <w:rFonts w:asciiTheme="minorHAnsi" w:hAnsiTheme="minorHAnsi" w:cstheme="minorHAnsi"/>
          <w:color w:val="auto"/>
          <w:sz w:val="21"/>
          <w:szCs w:val="21"/>
        </w:rPr>
      </w:pPr>
    </w:p>
    <w:p w14:paraId="44FB1078" w14:textId="17585052" w:rsidR="00CF7707" w:rsidRPr="00635418" w:rsidRDefault="00366CF9" w:rsidP="00635418">
      <w:pPr>
        <w:spacing w:after="0" w:line="258" w:lineRule="auto"/>
        <w:ind w:left="0" w:right="285" w:firstLine="0"/>
        <w:rPr>
          <w:rFonts w:asciiTheme="minorHAnsi" w:hAnsiTheme="minorHAnsi" w:cstheme="minorHAnsi"/>
          <w:color w:val="auto"/>
          <w:sz w:val="21"/>
          <w:szCs w:val="21"/>
        </w:rPr>
      </w:pPr>
      <w:r w:rsidRPr="00635418">
        <w:rPr>
          <w:rFonts w:asciiTheme="minorHAnsi" w:hAnsiTheme="minorHAnsi" w:cstheme="minorHAnsi"/>
          <w:b/>
          <w:i/>
          <w:color w:val="auto"/>
          <w:sz w:val="21"/>
          <w:szCs w:val="21"/>
        </w:rPr>
        <w:t xml:space="preserve">A noter que : l’employeur ne peut pas refuser la prise en charge d’une certification « </w:t>
      </w:r>
      <w:proofErr w:type="spellStart"/>
      <w:r w:rsidRPr="00635418">
        <w:rPr>
          <w:rFonts w:asciiTheme="minorHAnsi" w:hAnsiTheme="minorHAnsi" w:cstheme="minorHAnsi"/>
          <w:b/>
          <w:i/>
          <w:color w:val="auto"/>
          <w:sz w:val="21"/>
          <w:szCs w:val="21"/>
        </w:rPr>
        <w:t>CléA</w:t>
      </w:r>
      <w:proofErr w:type="spellEnd"/>
      <w:r w:rsidRPr="00635418">
        <w:rPr>
          <w:rFonts w:asciiTheme="minorHAnsi" w:hAnsiTheme="minorHAnsi" w:cstheme="minorHAnsi"/>
          <w:b/>
          <w:i/>
          <w:color w:val="auto"/>
          <w:sz w:val="21"/>
          <w:szCs w:val="21"/>
        </w:rPr>
        <w:t xml:space="preserve"> » pour défaut de budget suffisant et ce, quand bien même l’enveloppe prévue pour le financement du CPF serait d’un montant inférieur.</w:t>
      </w:r>
    </w:p>
    <w:p w14:paraId="6EB39F96" w14:textId="11946ACF" w:rsidR="00CF7707" w:rsidRPr="00635418" w:rsidRDefault="00CF7707">
      <w:pPr>
        <w:spacing w:after="0" w:line="259" w:lineRule="auto"/>
        <w:ind w:left="0" w:firstLine="0"/>
        <w:jc w:val="left"/>
        <w:rPr>
          <w:rFonts w:asciiTheme="minorHAnsi" w:hAnsiTheme="minorHAnsi" w:cstheme="minorHAnsi"/>
          <w:color w:val="auto"/>
          <w:sz w:val="21"/>
          <w:szCs w:val="21"/>
        </w:rPr>
      </w:pPr>
    </w:p>
    <w:p w14:paraId="7BFE2F15" w14:textId="77777777" w:rsidR="00CF7707" w:rsidRPr="00635418" w:rsidRDefault="00366CF9">
      <w:pPr>
        <w:ind w:left="-5" w:right="130"/>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Après en avoir délibéré, le </w:t>
      </w:r>
      <w:r w:rsidRPr="00635418">
        <w:rPr>
          <w:rFonts w:asciiTheme="minorHAnsi" w:hAnsiTheme="minorHAnsi" w:cstheme="minorHAnsi"/>
          <w:i/>
          <w:color w:val="auto"/>
          <w:sz w:val="21"/>
          <w:szCs w:val="21"/>
        </w:rPr>
        <w:t>Conseil municipal/communautaire</w:t>
      </w:r>
      <w:r w:rsidRPr="00635418">
        <w:rPr>
          <w:rFonts w:asciiTheme="minorHAnsi" w:hAnsiTheme="minorHAnsi" w:cstheme="minorHAnsi"/>
          <w:color w:val="auto"/>
          <w:sz w:val="21"/>
          <w:szCs w:val="21"/>
        </w:rPr>
        <w:t xml:space="preserve"> décide de la mise en œuvre du Compte Personnel de Formation dans les conditions les susmentionnées. </w:t>
      </w:r>
    </w:p>
    <w:p w14:paraId="46B9A7F4" w14:textId="6BDEE094" w:rsidR="00CF7707" w:rsidRPr="00635418" w:rsidRDefault="00CF7707" w:rsidP="00635418">
      <w:pPr>
        <w:spacing w:after="0" w:line="259" w:lineRule="auto"/>
        <w:ind w:left="0" w:firstLine="0"/>
        <w:jc w:val="left"/>
        <w:rPr>
          <w:rFonts w:asciiTheme="minorHAnsi" w:hAnsiTheme="minorHAnsi" w:cstheme="minorHAnsi"/>
          <w:color w:val="auto"/>
          <w:sz w:val="21"/>
          <w:szCs w:val="21"/>
        </w:rPr>
      </w:pPr>
    </w:p>
    <w:p w14:paraId="5B6D243D" w14:textId="77777777" w:rsidR="00CF7707" w:rsidRPr="00635418" w:rsidRDefault="00366CF9" w:rsidP="00635418">
      <w:pPr>
        <w:ind w:left="-5" w:right="-1"/>
        <w:jc w:val="left"/>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Adoptée à l’unanimité des membres présents, </w:t>
      </w:r>
      <w:proofErr w:type="gramStart"/>
      <w:r w:rsidRPr="00635418">
        <w:rPr>
          <w:rFonts w:asciiTheme="minorHAnsi" w:hAnsiTheme="minorHAnsi" w:cstheme="minorHAnsi"/>
          <w:color w:val="auto"/>
          <w:sz w:val="21"/>
          <w:szCs w:val="21"/>
        </w:rPr>
        <w:t>ou</w:t>
      </w:r>
      <w:proofErr w:type="gramEnd"/>
      <w:r w:rsidRPr="00635418">
        <w:rPr>
          <w:rFonts w:asciiTheme="minorHAnsi" w:hAnsiTheme="minorHAnsi" w:cstheme="minorHAnsi"/>
          <w:color w:val="auto"/>
          <w:sz w:val="21"/>
          <w:szCs w:val="21"/>
        </w:rPr>
        <w:t xml:space="preserve"> </w:t>
      </w:r>
    </w:p>
    <w:p w14:paraId="051427E2" w14:textId="77777777" w:rsidR="00CF7707" w:rsidRPr="00635418" w:rsidRDefault="00366CF9" w:rsidP="00635418">
      <w:pPr>
        <w:numPr>
          <w:ilvl w:val="0"/>
          <w:numId w:val="2"/>
        </w:numPr>
        <w:ind w:right="287"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à</w:t>
      </w:r>
      <w:proofErr w:type="gramEnd"/>
      <w:r w:rsidRPr="00635418">
        <w:rPr>
          <w:rFonts w:asciiTheme="minorHAnsi" w:hAnsiTheme="minorHAnsi" w:cstheme="minorHAnsi"/>
          <w:color w:val="auto"/>
          <w:sz w:val="21"/>
          <w:szCs w:val="21"/>
        </w:rPr>
        <w:t xml:space="preserve"> (nombre de voix) pour, </w:t>
      </w:r>
    </w:p>
    <w:p w14:paraId="7CB7BC11" w14:textId="77777777" w:rsidR="00635418" w:rsidRDefault="00366CF9" w:rsidP="00635418">
      <w:pPr>
        <w:numPr>
          <w:ilvl w:val="0"/>
          <w:numId w:val="2"/>
        </w:numPr>
        <w:ind w:right="287"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à</w:t>
      </w:r>
      <w:proofErr w:type="gramEnd"/>
      <w:r w:rsidRPr="00635418">
        <w:rPr>
          <w:rFonts w:asciiTheme="minorHAnsi" w:hAnsiTheme="minorHAnsi" w:cstheme="minorHAnsi"/>
          <w:color w:val="auto"/>
          <w:sz w:val="21"/>
          <w:szCs w:val="21"/>
        </w:rPr>
        <w:t xml:space="preserve"> (nombre de voix) contre,</w:t>
      </w:r>
    </w:p>
    <w:p w14:paraId="714AB5E8" w14:textId="41E4AC6D" w:rsidR="00CF7707" w:rsidRPr="00635418" w:rsidRDefault="00366CF9" w:rsidP="00635418">
      <w:pPr>
        <w:numPr>
          <w:ilvl w:val="0"/>
          <w:numId w:val="2"/>
        </w:numPr>
        <w:ind w:right="287" w:hanging="360"/>
        <w:rPr>
          <w:rFonts w:asciiTheme="minorHAnsi" w:hAnsiTheme="minorHAnsi" w:cstheme="minorHAnsi"/>
          <w:color w:val="auto"/>
          <w:sz w:val="21"/>
          <w:szCs w:val="21"/>
        </w:rPr>
      </w:pPr>
      <w:proofErr w:type="gramStart"/>
      <w:r w:rsidRPr="00635418">
        <w:rPr>
          <w:rFonts w:asciiTheme="minorHAnsi" w:hAnsiTheme="minorHAnsi" w:cstheme="minorHAnsi"/>
          <w:color w:val="auto"/>
          <w:sz w:val="21"/>
          <w:szCs w:val="21"/>
        </w:rPr>
        <w:t>à</w:t>
      </w:r>
      <w:proofErr w:type="gramEnd"/>
      <w:r w:rsidRPr="00635418">
        <w:rPr>
          <w:rFonts w:asciiTheme="minorHAnsi" w:hAnsiTheme="minorHAnsi" w:cstheme="minorHAnsi"/>
          <w:color w:val="auto"/>
          <w:sz w:val="21"/>
          <w:szCs w:val="21"/>
        </w:rPr>
        <w:t xml:space="preserve"> (nombre) abstention(s). </w:t>
      </w:r>
    </w:p>
    <w:p w14:paraId="5A3176F2" w14:textId="7419F0EB" w:rsidR="00CF7707" w:rsidRPr="00635418" w:rsidRDefault="00CF7707">
      <w:pPr>
        <w:spacing w:after="0" w:line="259" w:lineRule="auto"/>
        <w:ind w:left="0" w:firstLine="0"/>
        <w:jc w:val="left"/>
        <w:rPr>
          <w:rFonts w:asciiTheme="minorHAnsi" w:hAnsiTheme="minorHAnsi" w:cstheme="minorHAnsi"/>
          <w:color w:val="auto"/>
          <w:sz w:val="21"/>
          <w:szCs w:val="21"/>
        </w:rPr>
      </w:pPr>
    </w:p>
    <w:p w14:paraId="7E2FC78C" w14:textId="77777777" w:rsidR="00635418" w:rsidRPr="00635418" w:rsidRDefault="00635418" w:rsidP="00635418">
      <w:pPr>
        <w:tabs>
          <w:tab w:val="left" w:pos="4500"/>
        </w:tabs>
        <w:autoSpaceDE w:val="0"/>
        <w:autoSpaceDN w:val="0"/>
        <w:spacing w:after="0" w:line="240" w:lineRule="auto"/>
        <w:ind w:left="0" w:firstLine="0"/>
        <w:rPr>
          <w:rFonts w:ascii="Calibri" w:eastAsia="Times New Roman" w:hAnsi="Calibri" w:cs="Calibri"/>
          <w:color w:val="auto"/>
          <w:kern w:val="0"/>
          <w:sz w:val="21"/>
          <w:szCs w:val="21"/>
          <w14:ligatures w14:val="none"/>
        </w:rPr>
      </w:pPr>
      <w:r w:rsidRPr="00635418">
        <w:rPr>
          <w:rFonts w:ascii="Calibri" w:eastAsia="Times New Roman" w:hAnsi="Calibri" w:cs="Calibri"/>
          <w:color w:val="auto"/>
          <w:kern w:val="0"/>
          <w:sz w:val="21"/>
          <w:szCs w:val="21"/>
          <w14:ligatures w14:val="none"/>
        </w:rPr>
        <w:tab/>
        <w:t>Fait à………………………,</w:t>
      </w:r>
    </w:p>
    <w:p w14:paraId="0A072F96" w14:textId="77777777" w:rsidR="00635418" w:rsidRPr="00635418" w:rsidRDefault="00635418" w:rsidP="00635418">
      <w:pPr>
        <w:tabs>
          <w:tab w:val="left" w:pos="4500"/>
        </w:tabs>
        <w:autoSpaceDE w:val="0"/>
        <w:autoSpaceDN w:val="0"/>
        <w:spacing w:after="0" w:line="240" w:lineRule="auto"/>
        <w:ind w:left="0" w:firstLine="0"/>
        <w:rPr>
          <w:rFonts w:ascii="Calibri" w:eastAsia="Times New Roman" w:hAnsi="Calibri" w:cs="Calibri"/>
          <w:color w:val="auto"/>
          <w:kern w:val="0"/>
          <w:sz w:val="21"/>
          <w:szCs w:val="21"/>
          <w14:ligatures w14:val="none"/>
        </w:rPr>
      </w:pPr>
      <w:r w:rsidRPr="00635418">
        <w:rPr>
          <w:rFonts w:ascii="Calibri" w:eastAsia="Times New Roman" w:hAnsi="Calibri" w:cs="Calibri"/>
          <w:color w:val="auto"/>
          <w:kern w:val="0"/>
          <w:sz w:val="21"/>
          <w:szCs w:val="21"/>
          <w14:ligatures w14:val="none"/>
        </w:rPr>
        <w:tab/>
      </w:r>
      <w:proofErr w:type="gramStart"/>
      <w:r w:rsidRPr="00635418">
        <w:rPr>
          <w:rFonts w:ascii="Calibri" w:eastAsia="Times New Roman" w:hAnsi="Calibri" w:cs="Calibri"/>
          <w:color w:val="auto"/>
          <w:kern w:val="0"/>
          <w:sz w:val="21"/>
          <w:szCs w:val="21"/>
          <w14:ligatures w14:val="none"/>
        </w:rPr>
        <w:t>le</w:t>
      </w:r>
      <w:proofErr w:type="gramEnd"/>
      <w:r w:rsidRPr="00635418">
        <w:rPr>
          <w:rFonts w:ascii="Calibri" w:eastAsia="Times New Roman" w:hAnsi="Calibri" w:cs="Calibri"/>
          <w:color w:val="auto"/>
          <w:kern w:val="0"/>
          <w:sz w:val="21"/>
          <w:szCs w:val="21"/>
          <w14:ligatures w14:val="none"/>
        </w:rPr>
        <w:t>……………………………</w:t>
      </w:r>
    </w:p>
    <w:p w14:paraId="50B94C5B" w14:textId="77777777" w:rsidR="00635418" w:rsidRPr="00635418" w:rsidRDefault="00635418" w:rsidP="00635418">
      <w:pPr>
        <w:tabs>
          <w:tab w:val="left" w:pos="4500"/>
        </w:tabs>
        <w:autoSpaceDE w:val="0"/>
        <w:autoSpaceDN w:val="0"/>
        <w:spacing w:after="0" w:line="240" w:lineRule="auto"/>
        <w:ind w:left="0" w:firstLine="0"/>
        <w:rPr>
          <w:rFonts w:ascii="Calibri" w:eastAsia="Times New Roman" w:hAnsi="Calibri" w:cs="Calibri"/>
          <w:color w:val="auto"/>
          <w:kern w:val="0"/>
          <w:sz w:val="21"/>
          <w:szCs w:val="21"/>
          <w:u w:val="single"/>
          <w14:ligatures w14:val="none"/>
        </w:rPr>
      </w:pPr>
      <w:r w:rsidRPr="00635418">
        <w:rPr>
          <w:rFonts w:ascii="Calibri" w:eastAsia="Times New Roman" w:hAnsi="Calibri" w:cs="Calibri"/>
          <w:color w:val="auto"/>
          <w:kern w:val="0"/>
          <w:sz w:val="21"/>
          <w:szCs w:val="21"/>
          <w14:ligatures w14:val="none"/>
        </w:rPr>
        <w:tab/>
      </w:r>
      <w:r w:rsidRPr="00635418">
        <w:rPr>
          <w:rFonts w:ascii="Calibri" w:eastAsia="Times New Roman" w:hAnsi="Calibri" w:cs="Calibri"/>
          <w:color w:val="auto"/>
          <w:kern w:val="0"/>
          <w:sz w:val="21"/>
          <w:szCs w:val="21"/>
          <w:u w:val="single"/>
          <w14:ligatures w14:val="none"/>
        </w:rPr>
        <w:t>Prénom, Nom et qualité du signataire</w:t>
      </w:r>
    </w:p>
    <w:p w14:paraId="2C9CD9CF" w14:textId="77777777" w:rsidR="00366CF9" w:rsidRDefault="00366CF9" w:rsidP="00366CF9">
      <w:pPr>
        <w:spacing w:after="233"/>
        <w:ind w:left="-5" w:right="6188"/>
        <w:jc w:val="left"/>
        <w:rPr>
          <w:rFonts w:asciiTheme="minorHAnsi" w:hAnsiTheme="minorHAnsi" w:cstheme="minorHAnsi"/>
          <w:color w:val="auto"/>
          <w:sz w:val="21"/>
          <w:szCs w:val="21"/>
        </w:rPr>
      </w:pPr>
    </w:p>
    <w:p w14:paraId="313A17FB" w14:textId="35161E80" w:rsidR="00CF7707" w:rsidRPr="00635418" w:rsidRDefault="00366CF9" w:rsidP="00366CF9">
      <w:pPr>
        <w:spacing w:after="233"/>
        <w:ind w:left="-5" w:right="6188"/>
        <w:jc w:val="left"/>
        <w:rPr>
          <w:rFonts w:asciiTheme="minorHAnsi" w:hAnsiTheme="minorHAnsi" w:cstheme="minorHAnsi"/>
          <w:color w:val="auto"/>
          <w:sz w:val="21"/>
          <w:szCs w:val="21"/>
        </w:rPr>
      </w:pPr>
      <w:r w:rsidRPr="00635418">
        <w:rPr>
          <w:rFonts w:asciiTheme="minorHAnsi" w:hAnsiTheme="minorHAnsi" w:cstheme="minorHAnsi"/>
          <w:color w:val="auto"/>
          <w:sz w:val="21"/>
          <w:szCs w:val="21"/>
        </w:rPr>
        <w:t xml:space="preserve">Transmis au représentant de l’Etat le :  Publié le : </w:t>
      </w:r>
    </w:p>
    <w:sectPr w:rsidR="00CF7707" w:rsidRPr="00635418" w:rsidSect="00635418">
      <w:headerReference w:type="default" r:id="rId7"/>
      <w:pgSz w:w="11906" w:h="16838"/>
      <w:pgMar w:top="851"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810C" w14:textId="77777777" w:rsidR="00635418" w:rsidRDefault="00635418" w:rsidP="00635418">
      <w:pPr>
        <w:spacing w:after="0" w:line="240" w:lineRule="auto"/>
      </w:pPr>
      <w:r>
        <w:separator/>
      </w:r>
    </w:p>
  </w:endnote>
  <w:endnote w:type="continuationSeparator" w:id="0">
    <w:p w14:paraId="64B7B649" w14:textId="77777777" w:rsidR="00635418" w:rsidRDefault="00635418" w:rsidP="0063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BAE3" w14:textId="77777777" w:rsidR="00635418" w:rsidRDefault="00635418" w:rsidP="00635418">
      <w:pPr>
        <w:spacing w:after="0" w:line="240" w:lineRule="auto"/>
      </w:pPr>
      <w:r>
        <w:separator/>
      </w:r>
    </w:p>
  </w:footnote>
  <w:footnote w:type="continuationSeparator" w:id="0">
    <w:p w14:paraId="451A2370" w14:textId="77777777" w:rsidR="00635418" w:rsidRDefault="00635418" w:rsidP="0063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7D07" w14:textId="4C4D94AA" w:rsidR="00635418" w:rsidRPr="00635418" w:rsidRDefault="00635418" w:rsidP="00635418">
    <w:pPr>
      <w:pStyle w:val="En-tte"/>
      <w:tabs>
        <w:tab w:val="clear" w:pos="9072"/>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4526BB66" wp14:editId="403D1F43">
              <wp:simplePos x="0" y="0"/>
              <wp:positionH relativeFrom="margin">
                <wp:posOffset>1195070</wp:posOffset>
              </wp:positionH>
              <wp:positionV relativeFrom="page">
                <wp:posOffset>481330</wp:posOffset>
              </wp:positionV>
              <wp:extent cx="4926330" cy="652145"/>
              <wp:effectExtent l="0" t="0" r="0" b="0"/>
              <wp:wrapSquare wrapText="bothSides"/>
              <wp:docPr id="6992667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9C311AD" w14:textId="77777777" w:rsidR="00635418" w:rsidRPr="00635418" w:rsidRDefault="00635418" w:rsidP="00635418">
                          <w:pPr>
                            <w:pStyle w:val="En-tte"/>
                            <w:jc w:val="center"/>
                            <w:rPr>
                              <w:rFonts w:ascii="Calibri" w:hAnsi="Calibri" w:cs="Calibri"/>
                              <w:color w:val="FFFFFF"/>
                              <w:sz w:val="20"/>
                              <w:szCs w:val="20"/>
                            </w:rPr>
                          </w:pPr>
                          <w:r w:rsidRPr="00635418">
                            <w:rPr>
                              <w:rFonts w:ascii="Calibri" w:hAnsi="Calibri" w:cs="Calibri"/>
                              <w:color w:val="FFFFFF"/>
                              <w:sz w:val="20"/>
                              <w:szCs w:val="20"/>
                            </w:rPr>
                            <w:t>Ce modèle vous est proposé par le Centre de Gestion de la FPT de la Charente.</w:t>
                          </w:r>
                        </w:p>
                        <w:p w14:paraId="1B89E035" w14:textId="77777777" w:rsidR="00635418" w:rsidRPr="00635418" w:rsidRDefault="00635418" w:rsidP="00635418">
                          <w:pPr>
                            <w:pStyle w:val="En-tte"/>
                            <w:jc w:val="center"/>
                            <w:rPr>
                              <w:rFonts w:ascii="Calibri" w:hAnsi="Calibri" w:cs="Calibri"/>
                              <w:color w:val="FFFFFF"/>
                              <w:sz w:val="20"/>
                              <w:szCs w:val="20"/>
                            </w:rPr>
                          </w:pPr>
                          <w:r w:rsidRPr="00635418">
                            <w:rPr>
                              <w:rFonts w:ascii="Calibri" w:hAnsi="Calibri" w:cs="Calibri"/>
                              <w:color w:val="FFFFFF"/>
                              <w:sz w:val="20"/>
                              <w:szCs w:val="20"/>
                            </w:rPr>
                            <w:t>Il vous appartient de le contrôler et l’adapter selon votre situation.</w:t>
                          </w:r>
                        </w:p>
                        <w:p w14:paraId="136B1A3D" w14:textId="407BFA7E" w:rsidR="00635418" w:rsidRPr="00635418" w:rsidRDefault="00635418" w:rsidP="00635418">
                          <w:pPr>
                            <w:pStyle w:val="En-tte"/>
                            <w:jc w:val="center"/>
                            <w:rPr>
                              <w:rFonts w:ascii="Calibri" w:hAnsi="Calibri" w:cs="Calibri"/>
                              <w:caps/>
                              <w:color w:val="FFFFFF"/>
                              <w:sz w:val="20"/>
                              <w:szCs w:val="20"/>
                            </w:rPr>
                          </w:pPr>
                          <w:r w:rsidRPr="00635418">
                            <w:rPr>
                              <w:rFonts w:ascii="Calibri" w:hAnsi="Calibri" w:cs="Calibri"/>
                              <w:color w:val="FFFFFF"/>
                              <w:sz w:val="20"/>
                              <w:szCs w:val="20"/>
                            </w:rPr>
                            <w:t xml:space="preserve">Version mise à jour le </w:t>
                          </w:r>
                          <w:r>
                            <w:rPr>
                              <w:rFonts w:ascii="Calibri" w:hAnsi="Calibri" w:cs="Calibri"/>
                              <w:color w:val="FFFFFF"/>
                              <w:sz w:val="20"/>
                              <w:szCs w:val="20"/>
                            </w:rPr>
                            <w:t>27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526BB66" id="Rectangle 2" o:spid="_x0000_s1026" style="position:absolute;left:0;text-align:left;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09C311AD" w14:textId="77777777" w:rsidR="00635418" w:rsidRPr="00635418" w:rsidRDefault="00635418" w:rsidP="00635418">
                    <w:pPr>
                      <w:pStyle w:val="En-tte"/>
                      <w:jc w:val="center"/>
                      <w:rPr>
                        <w:rFonts w:ascii="Calibri" w:hAnsi="Calibri" w:cs="Calibri"/>
                        <w:color w:val="FFFFFF"/>
                        <w:sz w:val="20"/>
                        <w:szCs w:val="20"/>
                      </w:rPr>
                    </w:pPr>
                    <w:r w:rsidRPr="00635418">
                      <w:rPr>
                        <w:rFonts w:ascii="Calibri" w:hAnsi="Calibri" w:cs="Calibri"/>
                        <w:color w:val="FFFFFF"/>
                        <w:sz w:val="20"/>
                        <w:szCs w:val="20"/>
                      </w:rPr>
                      <w:t>Ce modèle vous est proposé par le Centre de Gestion de la FPT de la Charente.</w:t>
                    </w:r>
                  </w:p>
                  <w:p w14:paraId="1B89E035" w14:textId="77777777" w:rsidR="00635418" w:rsidRPr="00635418" w:rsidRDefault="00635418" w:rsidP="00635418">
                    <w:pPr>
                      <w:pStyle w:val="En-tte"/>
                      <w:jc w:val="center"/>
                      <w:rPr>
                        <w:rFonts w:ascii="Calibri" w:hAnsi="Calibri" w:cs="Calibri"/>
                        <w:color w:val="FFFFFF"/>
                        <w:sz w:val="20"/>
                        <w:szCs w:val="20"/>
                      </w:rPr>
                    </w:pPr>
                    <w:r w:rsidRPr="00635418">
                      <w:rPr>
                        <w:rFonts w:ascii="Calibri" w:hAnsi="Calibri" w:cs="Calibri"/>
                        <w:color w:val="FFFFFF"/>
                        <w:sz w:val="20"/>
                        <w:szCs w:val="20"/>
                      </w:rPr>
                      <w:t>Il vous appartient de le contrôler et l’adapter selon votre situation.</w:t>
                    </w:r>
                  </w:p>
                  <w:p w14:paraId="136B1A3D" w14:textId="407BFA7E" w:rsidR="00635418" w:rsidRPr="00635418" w:rsidRDefault="00635418" w:rsidP="00635418">
                    <w:pPr>
                      <w:pStyle w:val="En-tte"/>
                      <w:jc w:val="center"/>
                      <w:rPr>
                        <w:rFonts w:ascii="Calibri" w:hAnsi="Calibri" w:cs="Calibri"/>
                        <w:caps/>
                        <w:color w:val="FFFFFF"/>
                        <w:sz w:val="20"/>
                        <w:szCs w:val="20"/>
                      </w:rPr>
                    </w:pPr>
                    <w:r w:rsidRPr="00635418">
                      <w:rPr>
                        <w:rFonts w:ascii="Calibri" w:hAnsi="Calibri" w:cs="Calibri"/>
                        <w:color w:val="FFFFFF"/>
                        <w:sz w:val="20"/>
                        <w:szCs w:val="20"/>
                      </w:rPr>
                      <w:t xml:space="preserve">Version mise à jour le </w:t>
                    </w:r>
                    <w:r>
                      <w:rPr>
                        <w:rFonts w:ascii="Calibri" w:hAnsi="Calibri" w:cs="Calibri"/>
                        <w:color w:val="FFFFFF"/>
                        <w:sz w:val="20"/>
                        <w:szCs w:val="20"/>
                      </w:rPr>
                      <w:t>27 septembre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79F010D7" wp14:editId="15A778DA">
          <wp:extent cx="857250" cy="838200"/>
          <wp:effectExtent l="0" t="0" r="0" b="0"/>
          <wp:docPr id="9168525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10E"/>
    <w:multiLevelType w:val="hybridMultilevel"/>
    <w:tmpl w:val="68C829A8"/>
    <w:lvl w:ilvl="0" w:tplc="B8ECC04A">
      <w:numFmt w:val="bullet"/>
      <w:lvlText w:val="-"/>
      <w:lvlJc w:val="left"/>
      <w:pPr>
        <w:ind w:left="345" w:hanging="360"/>
      </w:pPr>
      <w:rPr>
        <w:rFonts w:ascii="Calibri" w:eastAsia="Arial" w:hAnsi="Calibri"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 w15:restartNumberingAfterBreak="0">
    <w:nsid w:val="0BC94A11"/>
    <w:multiLevelType w:val="hybridMultilevel"/>
    <w:tmpl w:val="BD68CA28"/>
    <w:lvl w:ilvl="0" w:tplc="63542AD0">
      <w:start w:val="1"/>
      <w:numFmt w:val="bullet"/>
      <w:lvlText w:val="-"/>
      <w:lvlJc w:val="left"/>
      <w:pPr>
        <w:ind w:left="1350" w:hanging="360"/>
      </w:pPr>
      <w:rPr>
        <w:rFonts w:ascii="Calibri" w:eastAsia="Tahoma" w:hAnsi="Calibri" w:cs="Calibri"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 w15:restartNumberingAfterBreak="0">
    <w:nsid w:val="0D7C0FEB"/>
    <w:multiLevelType w:val="hybridMultilevel"/>
    <w:tmpl w:val="1D0CCDD0"/>
    <w:lvl w:ilvl="0" w:tplc="249CCCFE">
      <w:start w:val="1"/>
      <w:numFmt w:val="bullet"/>
      <w:lvlText w:val="-"/>
      <w:lvlJc w:val="left"/>
      <w:pPr>
        <w:ind w:left="360"/>
      </w:pPr>
      <w:rPr>
        <w:rFonts w:ascii="Garamond" w:eastAsia="Garamond" w:hAnsi="Garamond" w:cs="Garamond"/>
        <w:b w:val="0"/>
        <w:i w:val="0"/>
        <w:strike w:val="0"/>
        <w:dstrike w:val="0"/>
        <w:color w:val="auto"/>
        <w:sz w:val="22"/>
        <w:szCs w:val="22"/>
        <w:u w:val="none" w:color="000000"/>
        <w:bdr w:val="none" w:sz="0" w:space="0" w:color="auto"/>
        <w:shd w:val="clear" w:color="auto" w:fill="auto"/>
        <w:vertAlign w:val="baseline"/>
      </w:rPr>
    </w:lvl>
    <w:lvl w:ilvl="1" w:tplc="CD18C070">
      <w:start w:val="1"/>
      <w:numFmt w:val="bullet"/>
      <w:lvlText w:val="o"/>
      <w:lvlJc w:val="left"/>
      <w:pPr>
        <w:ind w:left="1215"/>
      </w:pPr>
      <w:rPr>
        <w:rFonts w:ascii="Garamond" w:eastAsia="Garamond" w:hAnsi="Garamond" w:cs="Garamond"/>
        <w:b w:val="0"/>
        <w:i w:val="0"/>
        <w:strike w:val="0"/>
        <w:dstrike w:val="0"/>
        <w:color w:val="833C0B"/>
        <w:sz w:val="22"/>
        <w:szCs w:val="22"/>
        <w:u w:val="none" w:color="000000"/>
        <w:bdr w:val="none" w:sz="0" w:space="0" w:color="auto"/>
        <w:shd w:val="clear" w:color="auto" w:fill="auto"/>
        <w:vertAlign w:val="baseline"/>
      </w:rPr>
    </w:lvl>
    <w:lvl w:ilvl="2" w:tplc="33FE2562">
      <w:start w:val="1"/>
      <w:numFmt w:val="bullet"/>
      <w:lvlText w:val="▪"/>
      <w:lvlJc w:val="left"/>
      <w:pPr>
        <w:ind w:left="1935"/>
      </w:pPr>
      <w:rPr>
        <w:rFonts w:ascii="Garamond" w:eastAsia="Garamond" w:hAnsi="Garamond" w:cs="Garamond"/>
        <w:b w:val="0"/>
        <w:i w:val="0"/>
        <w:strike w:val="0"/>
        <w:dstrike w:val="0"/>
        <w:color w:val="833C0B"/>
        <w:sz w:val="22"/>
        <w:szCs w:val="22"/>
        <w:u w:val="none" w:color="000000"/>
        <w:bdr w:val="none" w:sz="0" w:space="0" w:color="auto"/>
        <w:shd w:val="clear" w:color="auto" w:fill="auto"/>
        <w:vertAlign w:val="baseline"/>
      </w:rPr>
    </w:lvl>
    <w:lvl w:ilvl="3" w:tplc="99EC9CF0">
      <w:start w:val="1"/>
      <w:numFmt w:val="bullet"/>
      <w:lvlText w:val="•"/>
      <w:lvlJc w:val="left"/>
      <w:pPr>
        <w:ind w:left="2655"/>
      </w:pPr>
      <w:rPr>
        <w:rFonts w:ascii="Garamond" w:eastAsia="Garamond" w:hAnsi="Garamond" w:cs="Garamond"/>
        <w:b w:val="0"/>
        <w:i w:val="0"/>
        <w:strike w:val="0"/>
        <w:dstrike w:val="0"/>
        <w:color w:val="833C0B"/>
        <w:sz w:val="22"/>
        <w:szCs w:val="22"/>
        <w:u w:val="none" w:color="000000"/>
        <w:bdr w:val="none" w:sz="0" w:space="0" w:color="auto"/>
        <w:shd w:val="clear" w:color="auto" w:fill="auto"/>
        <w:vertAlign w:val="baseline"/>
      </w:rPr>
    </w:lvl>
    <w:lvl w:ilvl="4" w:tplc="1F486B4C">
      <w:start w:val="1"/>
      <w:numFmt w:val="bullet"/>
      <w:lvlText w:val="o"/>
      <w:lvlJc w:val="left"/>
      <w:pPr>
        <w:ind w:left="3375"/>
      </w:pPr>
      <w:rPr>
        <w:rFonts w:ascii="Garamond" w:eastAsia="Garamond" w:hAnsi="Garamond" w:cs="Garamond"/>
        <w:b w:val="0"/>
        <w:i w:val="0"/>
        <w:strike w:val="0"/>
        <w:dstrike w:val="0"/>
        <w:color w:val="833C0B"/>
        <w:sz w:val="22"/>
        <w:szCs w:val="22"/>
        <w:u w:val="none" w:color="000000"/>
        <w:bdr w:val="none" w:sz="0" w:space="0" w:color="auto"/>
        <w:shd w:val="clear" w:color="auto" w:fill="auto"/>
        <w:vertAlign w:val="baseline"/>
      </w:rPr>
    </w:lvl>
    <w:lvl w:ilvl="5" w:tplc="AA32C4CA">
      <w:start w:val="1"/>
      <w:numFmt w:val="bullet"/>
      <w:lvlText w:val="▪"/>
      <w:lvlJc w:val="left"/>
      <w:pPr>
        <w:ind w:left="4095"/>
      </w:pPr>
      <w:rPr>
        <w:rFonts w:ascii="Garamond" w:eastAsia="Garamond" w:hAnsi="Garamond" w:cs="Garamond"/>
        <w:b w:val="0"/>
        <w:i w:val="0"/>
        <w:strike w:val="0"/>
        <w:dstrike w:val="0"/>
        <w:color w:val="833C0B"/>
        <w:sz w:val="22"/>
        <w:szCs w:val="22"/>
        <w:u w:val="none" w:color="000000"/>
        <w:bdr w:val="none" w:sz="0" w:space="0" w:color="auto"/>
        <w:shd w:val="clear" w:color="auto" w:fill="auto"/>
        <w:vertAlign w:val="baseline"/>
      </w:rPr>
    </w:lvl>
    <w:lvl w:ilvl="6" w:tplc="10B0885A">
      <w:start w:val="1"/>
      <w:numFmt w:val="bullet"/>
      <w:lvlText w:val="•"/>
      <w:lvlJc w:val="left"/>
      <w:pPr>
        <w:ind w:left="4815"/>
      </w:pPr>
      <w:rPr>
        <w:rFonts w:ascii="Garamond" w:eastAsia="Garamond" w:hAnsi="Garamond" w:cs="Garamond"/>
        <w:b w:val="0"/>
        <w:i w:val="0"/>
        <w:strike w:val="0"/>
        <w:dstrike w:val="0"/>
        <w:color w:val="833C0B"/>
        <w:sz w:val="22"/>
        <w:szCs w:val="22"/>
        <w:u w:val="none" w:color="000000"/>
        <w:bdr w:val="none" w:sz="0" w:space="0" w:color="auto"/>
        <w:shd w:val="clear" w:color="auto" w:fill="auto"/>
        <w:vertAlign w:val="baseline"/>
      </w:rPr>
    </w:lvl>
    <w:lvl w:ilvl="7" w:tplc="4B4C0E70">
      <w:start w:val="1"/>
      <w:numFmt w:val="bullet"/>
      <w:lvlText w:val="o"/>
      <w:lvlJc w:val="left"/>
      <w:pPr>
        <w:ind w:left="5535"/>
      </w:pPr>
      <w:rPr>
        <w:rFonts w:ascii="Garamond" w:eastAsia="Garamond" w:hAnsi="Garamond" w:cs="Garamond"/>
        <w:b w:val="0"/>
        <w:i w:val="0"/>
        <w:strike w:val="0"/>
        <w:dstrike w:val="0"/>
        <w:color w:val="833C0B"/>
        <w:sz w:val="22"/>
        <w:szCs w:val="22"/>
        <w:u w:val="none" w:color="000000"/>
        <w:bdr w:val="none" w:sz="0" w:space="0" w:color="auto"/>
        <w:shd w:val="clear" w:color="auto" w:fill="auto"/>
        <w:vertAlign w:val="baseline"/>
      </w:rPr>
    </w:lvl>
    <w:lvl w:ilvl="8" w:tplc="522E3648">
      <w:start w:val="1"/>
      <w:numFmt w:val="bullet"/>
      <w:lvlText w:val="▪"/>
      <w:lvlJc w:val="left"/>
      <w:pPr>
        <w:ind w:left="6255"/>
      </w:pPr>
      <w:rPr>
        <w:rFonts w:ascii="Garamond" w:eastAsia="Garamond" w:hAnsi="Garamond" w:cs="Garamond"/>
        <w:b w:val="0"/>
        <w:i w:val="0"/>
        <w:strike w:val="0"/>
        <w:dstrike w:val="0"/>
        <w:color w:val="833C0B"/>
        <w:sz w:val="22"/>
        <w:szCs w:val="22"/>
        <w:u w:val="none" w:color="000000"/>
        <w:bdr w:val="none" w:sz="0" w:space="0" w:color="auto"/>
        <w:shd w:val="clear" w:color="auto" w:fill="auto"/>
        <w:vertAlign w:val="baseline"/>
      </w:rPr>
    </w:lvl>
  </w:abstractNum>
  <w:abstractNum w:abstractNumId="3" w15:restartNumberingAfterBreak="0">
    <w:nsid w:val="1F8C69E2"/>
    <w:multiLevelType w:val="hybridMultilevel"/>
    <w:tmpl w:val="B77A4778"/>
    <w:lvl w:ilvl="0" w:tplc="280A564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12B2C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C2D3C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F420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67E9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6C2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8488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3C433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7A1C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E0E46"/>
    <w:multiLevelType w:val="hybridMultilevel"/>
    <w:tmpl w:val="76AC34BE"/>
    <w:lvl w:ilvl="0" w:tplc="790C5B46">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5" w15:restartNumberingAfterBreak="0">
    <w:nsid w:val="7744466B"/>
    <w:multiLevelType w:val="hybridMultilevel"/>
    <w:tmpl w:val="F022105C"/>
    <w:lvl w:ilvl="0" w:tplc="790C5B46">
      <w:start w:val="1"/>
      <w:numFmt w:val="bullet"/>
      <w:lvlText w:val=""/>
      <w:lvlJc w:val="left"/>
      <w:pPr>
        <w:ind w:left="144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670A49F0">
      <w:start w:val="1"/>
      <w:numFmt w:val="bullet"/>
      <w:lvlText w:val="o"/>
      <w:lvlJc w:val="left"/>
      <w:pPr>
        <w:ind w:left="2143"/>
      </w:pPr>
      <w:rPr>
        <w:rFonts w:ascii="Segoe UI Symbol" w:eastAsia="Segoe UI Symbol" w:hAnsi="Segoe UI Symbol" w:cs="Segoe UI Symbol"/>
        <w:b w:val="0"/>
        <w:i w:val="0"/>
        <w:strike w:val="0"/>
        <w:dstrike w:val="0"/>
        <w:color w:val="833C0B"/>
        <w:sz w:val="22"/>
        <w:szCs w:val="22"/>
        <w:u w:val="none" w:color="000000"/>
        <w:bdr w:val="none" w:sz="0" w:space="0" w:color="auto"/>
        <w:shd w:val="clear" w:color="auto" w:fill="auto"/>
        <w:vertAlign w:val="baseline"/>
      </w:rPr>
    </w:lvl>
    <w:lvl w:ilvl="2" w:tplc="FB520106">
      <w:start w:val="1"/>
      <w:numFmt w:val="bullet"/>
      <w:lvlText w:val="▪"/>
      <w:lvlJc w:val="left"/>
      <w:pPr>
        <w:ind w:left="2863"/>
      </w:pPr>
      <w:rPr>
        <w:rFonts w:ascii="Segoe UI Symbol" w:eastAsia="Segoe UI Symbol" w:hAnsi="Segoe UI Symbol" w:cs="Segoe UI Symbol"/>
        <w:b w:val="0"/>
        <w:i w:val="0"/>
        <w:strike w:val="0"/>
        <w:dstrike w:val="0"/>
        <w:color w:val="833C0B"/>
        <w:sz w:val="22"/>
        <w:szCs w:val="22"/>
        <w:u w:val="none" w:color="000000"/>
        <w:bdr w:val="none" w:sz="0" w:space="0" w:color="auto"/>
        <w:shd w:val="clear" w:color="auto" w:fill="auto"/>
        <w:vertAlign w:val="baseline"/>
      </w:rPr>
    </w:lvl>
    <w:lvl w:ilvl="3" w:tplc="B5925446">
      <w:start w:val="1"/>
      <w:numFmt w:val="bullet"/>
      <w:lvlText w:val="•"/>
      <w:lvlJc w:val="left"/>
      <w:pPr>
        <w:ind w:left="3583"/>
      </w:pPr>
      <w:rPr>
        <w:rFonts w:ascii="Arial" w:eastAsia="Arial" w:hAnsi="Arial" w:cs="Arial"/>
        <w:b w:val="0"/>
        <w:i w:val="0"/>
        <w:strike w:val="0"/>
        <w:dstrike w:val="0"/>
        <w:color w:val="833C0B"/>
        <w:sz w:val="22"/>
        <w:szCs w:val="22"/>
        <w:u w:val="none" w:color="000000"/>
        <w:bdr w:val="none" w:sz="0" w:space="0" w:color="auto"/>
        <w:shd w:val="clear" w:color="auto" w:fill="auto"/>
        <w:vertAlign w:val="baseline"/>
      </w:rPr>
    </w:lvl>
    <w:lvl w:ilvl="4" w:tplc="62D63F58">
      <w:start w:val="1"/>
      <w:numFmt w:val="bullet"/>
      <w:lvlText w:val="o"/>
      <w:lvlJc w:val="left"/>
      <w:pPr>
        <w:ind w:left="4303"/>
      </w:pPr>
      <w:rPr>
        <w:rFonts w:ascii="Segoe UI Symbol" w:eastAsia="Segoe UI Symbol" w:hAnsi="Segoe UI Symbol" w:cs="Segoe UI Symbol"/>
        <w:b w:val="0"/>
        <w:i w:val="0"/>
        <w:strike w:val="0"/>
        <w:dstrike w:val="0"/>
        <w:color w:val="833C0B"/>
        <w:sz w:val="22"/>
        <w:szCs w:val="22"/>
        <w:u w:val="none" w:color="000000"/>
        <w:bdr w:val="none" w:sz="0" w:space="0" w:color="auto"/>
        <w:shd w:val="clear" w:color="auto" w:fill="auto"/>
        <w:vertAlign w:val="baseline"/>
      </w:rPr>
    </w:lvl>
    <w:lvl w:ilvl="5" w:tplc="A48C05A4">
      <w:start w:val="1"/>
      <w:numFmt w:val="bullet"/>
      <w:lvlText w:val="▪"/>
      <w:lvlJc w:val="left"/>
      <w:pPr>
        <w:ind w:left="5023"/>
      </w:pPr>
      <w:rPr>
        <w:rFonts w:ascii="Segoe UI Symbol" w:eastAsia="Segoe UI Symbol" w:hAnsi="Segoe UI Symbol" w:cs="Segoe UI Symbol"/>
        <w:b w:val="0"/>
        <w:i w:val="0"/>
        <w:strike w:val="0"/>
        <w:dstrike w:val="0"/>
        <w:color w:val="833C0B"/>
        <w:sz w:val="22"/>
        <w:szCs w:val="22"/>
        <w:u w:val="none" w:color="000000"/>
        <w:bdr w:val="none" w:sz="0" w:space="0" w:color="auto"/>
        <w:shd w:val="clear" w:color="auto" w:fill="auto"/>
        <w:vertAlign w:val="baseline"/>
      </w:rPr>
    </w:lvl>
    <w:lvl w:ilvl="6" w:tplc="A2A28A40">
      <w:start w:val="1"/>
      <w:numFmt w:val="bullet"/>
      <w:lvlText w:val="•"/>
      <w:lvlJc w:val="left"/>
      <w:pPr>
        <w:ind w:left="5743"/>
      </w:pPr>
      <w:rPr>
        <w:rFonts w:ascii="Arial" w:eastAsia="Arial" w:hAnsi="Arial" w:cs="Arial"/>
        <w:b w:val="0"/>
        <w:i w:val="0"/>
        <w:strike w:val="0"/>
        <w:dstrike w:val="0"/>
        <w:color w:val="833C0B"/>
        <w:sz w:val="22"/>
        <w:szCs w:val="22"/>
        <w:u w:val="none" w:color="000000"/>
        <w:bdr w:val="none" w:sz="0" w:space="0" w:color="auto"/>
        <w:shd w:val="clear" w:color="auto" w:fill="auto"/>
        <w:vertAlign w:val="baseline"/>
      </w:rPr>
    </w:lvl>
    <w:lvl w:ilvl="7" w:tplc="2A78BF74">
      <w:start w:val="1"/>
      <w:numFmt w:val="bullet"/>
      <w:lvlText w:val="o"/>
      <w:lvlJc w:val="left"/>
      <w:pPr>
        <w:ind w:left="6463"/>
      </w:pPr>
      <w:rPr>
        <w:rFonts w:ascii="Segoe UI Symbol" w:eastAsia="Segoe UI Symbol" w:hAnsi="Segoe UI Symbol" w:cs="Segoe UI Symbol"/>
        <w:b w:val="0"/>
        <w:i w:val="0"/>
        <w:strike w:val="0"/>
        <w:dstrike w:val="0"/>
        <w:color w:val="833C0B"/>
        <w:sz w:val="22"/>
        <w:szCs w:val="22"/>
        <w:u w:val="none" w:color="000000"/>
        <w:bdr w:val="none" w:sz="0" w:space="0" w:color="auto"/>
        <w:shd w:val="clear" w:color="auto" w:fill="auto"/>
        <w:vertAlign w:val="baseline"/>
      </w:rPr>
    </w:lvl>
    <w:lvl w:ilvl="8" w:tplc="4BF214C0">
      <w:start w:val="1"/>
      <w:numFmt w:val="bullet"/>
      <w:lvlText w:val="▪"/>
      <w:lvlJc w:val="left"/>
      <w:pPr>
        <w:ind w:left="7183"/>
      </w:pPr>
      <w:rPr>
        <w:rFonts w:ascii="Segoe UI Symbol" w:eastAsia="Segoe UI Symbol" w:hAnsi="Segoe UI Symbol" w:cs="Segoe UI Symbol"/>
        <w:b w:val="0"/>
        <w:i w:val="0"/>
        <w:strike w:val="0"/>
        <w:dstrike w:val="0"/>
        <w:color w:val="833C0B"/>
        <w:sz w:val="22"/>
        <w:szCs w:val="22"/>
        <w:u w:val="none" w:color="000000"/>
        <w:bdr w:val="none" w:sz="0" w:space="0" w:color="auto"/>
        <w:shd w:val="clear" w:color="auto" w:fill="auto"/>
        <w:vertAlign w:val="baseline"/>
      </w:rPr>
    </w:lvl>
  </w:abstractNum>
  <w:num w:numId="1" w16cid:durableId="372728164">
    <w:abstractNumId w:val="2"/>
  </w:num>
  <w:num w:numId="2" w16cid:durableId="1910580387">
    <w:abstractNumId w:val="5"/>
  </w:num>
  <w:num w:numId="3" w16cid:durableId="1326280397">
    <w:abstractNumId w:val="3"/>
  </w:num>
  <w:num w:numId="4" w16cid:durableId="1175723932">
    <w:abstractNumId w:val="1"/>
  </w:num>
  <w:num w:numId="5" w16cid:durableId="354573622">
    <w:abstractNumId w:val="4"/>
  </w:num>
  <w:num w:numId="6" w16cid:durableId="9155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07"/>
    <w:rsid w:val="00366CF9"/>
    <w:rsid w:val="00501DE9"/>
    <w:rsid w:val="00635418"/>
    <w:rsid w:val="00CB26C6"/>
    <w:rsid w:val="00CF77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29838"/>
  <w15:docId w15:val="{EA659F3F-1E3D-40CF-AB6C-3A5F1B3B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833C0B"/>
    </w:rPr>
  </w:style>
  <w:style w:type="paragraph" w:styleId="Titre1">
    <w:name w:val="heading 1"/>
    <w:basedOn w:val="Normal"/>
    <w:next w:val="Normal"/>
    <w:link w:val="Titre1Car"/>
    <w:qFormat/>
    <w:rsid w:val="00635418"/>
    <w:pPr>
      <w:autoSpaceDE w:val="0"/>
      <w:autoSpaceDN w:val="0"/>
      <w:spacing w:before="240" w:after="0" w:line="240" w:lineRule="auto"/>
      <w:ind w:left="0" w:firstLine="0"/>
      <w:jc w:val="left"/>
      <w:outlineLvl w:val="0"/>
    </w:pPr>
    <w:rPr>
      <w:rFonts w:ascii="Helv" w:eastAsia="Times New Roman" w:hAnsi="Helv" w:cs="Times New Roman"/>
      <w:b/>
      <w:bCs/>
      <w:color w:val="auto"/>
      <w:kern w:val="0"/>
      <w:sz w:val="24"/>
      <w:szCs w:val="24"/>
      <w:u w:val="singl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B26C6"/>
    <w:pPr>
      <w:widowControl w:val="0"/>
      <w:autoSpaceDE w:val="0"/>
      <w:autoSpaceDN w:val="0"/>
      <w:spacing w:after="0" w:line="240" w:lineRule="auto"/>
      <w:ind w:left="2147" w:hanging="361"/>
      <w:jc w:val="left"/>
    </w:pPr>
    <w:rPr>
      <w:rFonts w:ascii="Tahoma" w:eastAsia="Tahoma" w:hAnsi="Tahoma" w:cs="Tahoma"/>
      <w:color w:val="auto"/>
      <w:kern w:val="0"/>
      <w:lang w:eastAsia="en-US"/>
      <w14:ligatures w14:val="none"/>
    </w:rPr>
  </w:style>
  <w:style w:type="paragraph" w:styleId="En-tte">
    <w:name w:val="header"/>
    <w:basedOn w:val="Normal"/>
    <w:link w:val="En-tteCar"/>
    <w:uiPriority w:val="99"/>
    <w:unhideWhenUsed/>
    <w:rsid w:val="00635418"/>
    <w:pPr>
      <w:tabs>
        <w:tab w:val="center" w:pos="4536"/>
        <w:tab w:val="right" w:pos="9072"/>
      </w:tabs>
      <w:spacing w:after="0" w:line="240" w:lineRule="auto"/>
    </w:pPr>
  </w:style>
  <w:style w:type="character" w:customStyle="1" w:styleId="En-tteCar">
    <w:name w:val="En-tête Car"/>
    <w:basedOn w:val="Policepardfaut"/>
    <w:link w:val="En-tte"/>
    <w:uiPriority w:val="99"/>
    <w:rsid w:val="00635418"/>
    <w:rPr>
      <w:rFonts w:ascii="Arial" w:eastAsia="Arial" w:hAnsi="Arial" w:cs="Arial"/>
      <w:color w:val="833C0B"/>
    </w:rPr>
  </w:style>
  <w:style w:type="paragraph" w:styleId="Pieddepage">
    <w:name w:val="footer"/>
    <w:basedOn w:val="Normal"/>
    <w:link w:val="PieddepageCar"/>
    <w:uiPriority w:val="99"/>
    <w:unhideWhenUsed/>
    <w:rsid w:val="006354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418"/>
    <w:rPr>
      <w:rFonts w:ascii="Arial" w:eastAsia="Arial" w:hAnsi="Arial" w:cs="Arial"/>
      <w:color w:val="833C0B"/>
    </w:rPr>
  </w:style>
  <w:style w:type="character" w:customStyle="1" w:styleId="Titre1Car">
    <w:name w:val="Titre 1 Car"/>
    <w:basedOn w:val="Policepardfaut"/>
    <w:link w:val="Titre1"/>
    <w:rsid w:val="00635418"/>
    <w:rPr>
      <w:rFonts w:ascii="Helv" w:eastAsia="Times New Roman" w:hAnsi="Helv" w:cs="Times New Roman"/>
      <w:b/>
      <w:bCs/>
      <w:kern w:val="0"/>
      <w:sz w:val="24"/>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1333</Words>
  <Characters>7337</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Modèle de note - Coopération régionale</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note - Coopération régionale</dc:title>
  <dc:subject/>
  <dc:creator>Yann VASSEAU</dc:creator>
  <cp:keywords/>
  <cp:lastModifiedBy>CDG16 MARJORIE CHAUVET</cp:lastModifiedBy>
  <cp:revision>2</cp:revision>
  <dcterms:created xsi:type="dcterms:W3CDTF">2023-09-27T13:58:00Z</dcterms:created>
  <dcterms:modified xsi:type="dcterms:W3CDTF">2023-09-27T13:58:00Z</dcterms:modified>
</cp:coreProperties>
</file>